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30d MStV (Brandenburg) — Versorgungsauftrag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kommen ihrem gesetzlichen Auftrag durch Nutzung geeigneter Übertragungswege nach. Bei der Auswahl des Übertragungswegs sind die Grundsätze der Wirtschaftlichkeit und Sparsamkeit zu beachten. Die analoge Verbreitung bisher ausschließlich digital verbreiteter Programme ist unzulässig.</w:t>
      </w:r>
    </w:p>
    <w:p>
      <w:r>
        <w:t xml:space="preserve">(2) Zur Erfüllung ihres Versorgungsauftrags sollen die in der ARD zusammengeschlossenen Landesrundfunkanstalten, das ZDF und das Deutschlandradio mit privaten Veranstaltern von Rundfunkprogrammen nach § 84 Abs. 3 S. 2 sowie mit diesen verbundenen Unternehmen zusammenarbeiten. Kooperationen können insbesondere eine Verlinkung (Embedding) oder sonstige Vernetzung öffentlich-rechtlicher Inhalte oder Angebote, vereinfachte Verfahren der Zurverfügungstellung öffentlich-rechtlicher Inhalte oder die gemeinsame Nutzung von Infrastrukturen beinhalten.</w:t>
      </w:r>
    </w:p>
    <w:p>
      <w:r>
        <w:rPr>
          <w:color w:val="555555"/>
          <w:sz w:val="17"/>
        </w:rPr>
        <w:t xml:space="preserve">Zitiervorschlag: § 30d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https://recht.nulegal.eu/gesetze/MStV/30d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