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MStV (Brandenburg) — Notifizierung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Änderungen dieses Unterabschnitts sowie des V. Abschnitts unterliegen der Notifizierungspflicht gemäß der Richtlinie (EU) 2015/1535 des Europäischen Parlaments und des Rates vom 9. September 2015 über ein Informationsverfahren auf dem Gebiet der technischen Vorschriften und der Vorschriften für die Dienste der Informationsgesellschaft (ABl. L 241 vom 17.9.2015, S. 1).</w:t>
      </w:r>
    </w:p>
    <w:p>
      <w:r>
        <w:t xml:space="preserve">III. Abschnitt</w:t>
      </w:r>
    </w:p>
    <w:p>
      <w:r>
        <w:t xml:space="preserve">Besondere Bestimmungen für den öffentlich-rechtlichen Rundfunk</w:t>
      </w:r>
    </w:p>
    <w:p>
      <w:r>
        <w:rPr>
          <w:color w:val="555555"/>
          <w:sz w:val="17"/>
        </w:rPr>
        <w:t xml:space="preserve">Zitiervorschlag: § 25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