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MStV (Brandenburg) — Datenverarbeitung zu journalistischen Zwecken, Medienprivileg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die in der ARD zusammengeschlossenen Landesrundfunkanstalten, das ZDF, das Deutschlandradio, private Rundfunkveranstalter oder Unternehmen und Hilfsunternehmen der Presse als Anbieter von Telemedien personenbezogene Daten zu journalistischen Zwecken verarbeiten, ist es den hiermit befassten Personen untersagt, diese personenbezogenen Daten zu anderen Zwecken zu verarbeiten (Datengeheimnis). Diese Personen sind bei der Aufnahme ihrer Tätigkeit auf das Datengeheimnis zu verpflichten. Das Datengeheimnis besteht auch nach Beendigung ihrer Tätigkeit fort. Im Übrigen finden für die Datenverarbeitung zu journalistischen Zwecken außer den Kapiteln I, VIII, X und XI der Verordnung (EU) 2016/679 nur die Artikel 5 Abs. 1 Buchst. f in Verbindung mit Abs. 2, Artikel 24 und Artikel 32 der Verordnung (EU) 2016/679 Anwendung. Artikel 82 und 83 der Verordnung (EU) 2016/679 gelten mit der Maßgabe, dass nur für eine Verletzung des Datengeheimnisses gemäß den Sätzen 1 bis 3 sowie für unzureichende Maßnahmen nach Artikel 5 Abs. 1 Buchst. f, Artikel 24 und 32 der Verordnung (EU) 2016/679 gehaftet wird. Kapitel VIII der Verordnung (EU) 2016/679 findet keine Anwendung, soweit Unternehmen, Hilfs- und Beteiligungsunternehmen der Presse der Selbstregulierung durch den Pressekodex und der Beschwerdeordnung des Deutschen Presserates unterliegen. Die Sätze 1 bis 6 gelten entsprechend für die zu den in Satz 1 genannten Stellen gehörenden Hilfs- und Beteiligungsunternehmen. Den betroffenen Personen stehen nur die in den Absätzen 2 und 3 genannten Rechte zu.</w:t>
      </w:r>
    </w:p>
    <w:p>
      <w:r>
        <w:t xml:space="preserve">(2) Werden personenbezogene Daten von einem Anbieter von Telemedien zu journalistischen Zwecken gespeichert, verändert, übermittelt, gesperrt oder gelöscht und wird die betroffene Person dadurch in ihrem Persönlichkeitsrecht beeinträchtigt, kann sie Auskunft über die zugrunde liegenden, zu ihrer Person gespeicherten Daten verlangen. Die Auskunft kann nach Abwägung der schutzwürdigen Interessen der Beteiligten verweigert werden, soweit</w:t>
      </w:r>
    </w:p>
    <w:p>
      <w:r>
        <w:t xml:space="preserve">aus den Daten auf Personen, die bei der Vorbereitung, Herstellung oder Verbreitung mitgewirkt haben, geschlossen werden kann,</w:t>
      </w:r>
    </w:p>
    <w:p>
      <w:r>
        <w:t xml:space="preserve">aus den Daten auf die Person des Einsenders oder des Gewährsträgers von Beiträgen, Unterlagen und Mitteilungen für den redaktionellen Teil geschlossen werden kann oder</w:t>
      </w:r>
    </w:p>
    <w:p>
      <w:r>
        <w:t xml:space="preserve">durch die Mitteilung der recherchierten oder sonst erlangten Daten die journalistische Aufgabe des Anbieters durch Ausforschung des Informationsbestandes beeinträchtigt würde.</w:t>
      </w:r>
    </w:p>
    <w:p>
      <w:r>
        <w:t xml:space="preserve">Die betroffene Person kann die unverzügliche Berichtigung unrichtiger personenbezogener Daten im Datensatz oder die Hinzufügung einer eigenen Darstellung von angemessenem Umfang verlangen. Die weitere Speicherung der personenbezogenen Daten ist rechtmäßig, wenn dies für die Ausübung des Rechts auf freie Meinungsäußerung und Information oder zur Wahrnehmung berechtigter Interessen erforderlich ist. Die Sätze 1 bis 3 gelten nicht für Angebote von Unternehmen, Hilfs- und Beteiligungsunternehmen der Presse, soweit diese der Selbstregulierung durch den Pressekodex und der Beschwerdeordnung des Deutschen Presserates unterliegen.</w:t>
      </w:r>
    </w:p>
    <w:p>
      <w:r>
        <w:t xml:space="preserve">(3) Führt die journalistische Verarbeitung personenbezogener Daten zur Verbreitung von Gegendarstellungen der betroffenen Person oder zu Verpflichtungserklärungen, Beschlüssen oder Urteilen über die Unterlassung der Verbreitung oder über den Widerruf des Inhalts der Daten, sind diese Gegendarstellungen, Verpflichtungserklärungen und Widerrufe zu den gespeicherten Daten zu nehmen und dort für dieselbe Zeitdauer aufzubewahren wie die Daten selbst sowie bei einer Übermittlung der Daten gemeinsam mit diesen zu übermitteln.</w:t>
      </w:r>
    </w:p>
    <w:p>
      <w:r>
        <w:rPr>
          <w:color w:val="555555"/>
          <w:sz w:val="17"/>
        </w:rPr>
        <w:t xml:space="preserve">Zitiervorschlag: § 23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