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MStV (Brandenburg) — Informationspflichten und Auskunftsrechte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Anbieter von Telemedien, die nicht ausschließlich persönlichen oder familiären Zwecken dienen, haben folgende Informationen leicht erkennbar, unmittelbar erreichbar und ständig verfügbar zu halten:</w:t>
      </w:r>
    </w:p>
    <w:p>
      <w:r>
        <w:t xml:space="preserve">Name und Anschrift sowie</w:t>
      </w:r>
    </w:p>
    <w:p>
      <w:r>
        <w:t xml:space="preserve">bei juristischen Personen auch Name und Anschrift des Vertretungsberechtigten.</w:t>
      </w:r>
    </w:p>
    <w:p>
      <w:r>
        <w:t xml:space="preserve">(2) Anbieter von Telemedien mit journalistisch-redaktionell gestalteten Angeboten, in denen insbesondere vollständig oder teilweise Inhalte periodischer Druckerzeugnisse in Text oder Bild wiedergegeben werden, haben zusätzlich zu den Angaben nach den §§ 5 und 6 des Digitale-Dienste-Gesetzes einen Verantwortlichen mit Angabe des Namens und der Anschrift zu benennen. Werden mehrere Verantwortliche benannt, ist kenntlich zu machen, für welchen Teil des Dienstes der jeweils Benannte verantwortlich ist. Als Verantwortlicher darf nur benannt werden, wer</w:t>
      </w:r>
    </w:p>
    <w:p>
      <w:r>
        <w:t xml:space="preserve">seinen ständigen Aufenthalt im Inland hat,</w:t>
      </w:r>
    </w:p>
    <w:p>
      <w:r>
        <w:t xml:space="preserve">die Fähigkeit, öffentliche Ämter zu bekleiden, nicht durch Richterspruch verloren hat,</w:t>
      </w:r>
    </w:p>
    <w:p>
      <w:r>
        <w:t xml:space="preserve">unbeschränkt geschäftsfähig ist und</w:t>
      </w:r>
    </w:p>
    <w:p>
      <w:r>
        <w:t xml:space="preserve">unbeschränkt strafrechtlich verfolgt werden kann.</w:t>
      </w:r>
    </w:p>
    <w:p>
      <w:r>
        <w:t xml:space="preserve">Satz 3 Nr. 3 und 4 gilt nicht für Jugendliche, die Telemedien verantworten, die für Jugendliche bestimmt sind.</w:t>
      </w:r>
    </w:p>
    <w:p>
      <w:r>
        <w:t xml:space="preserve">(3) Anbieter von Telemedien in sozialen Netzwerken sind verpflichtet, bei mittels eines Computerprogramms automatisiert erstellten Inhalten oder Mitteilungen den Umstand der Automatisierung kenntlich zu machen, sofern das hierfür verwandte Nutzerkonto seinem äußeren Erscheinungsbild nach für die Nutzung durch natürliche Personen bereitgestellt wurde. Dem Inhalt oder der Mitteilung ist der Hinweis gut lesbar bei- oder voranzustellen, dass dieser oder diese unter Einsatz eines das Nutzerkonto steuernden Computerprogrammes automatisiert erstellt und versandt wurde. Ein Erstellen im Sinne dieser Vorschrift liegt nicht nur vor, wenn Inhalte und Mitteilungen unmittelbar vor dem Versenden automatisiert generiert werden, sondern auch, wenn bei dem Versand automatisiert auf einen vorgefertigten Inhalt oder eine vorprogrammierte Mitteilung zurückgegriffen wird.</w:t>
      </w:r>
    </w:p>
    <w:p>
      <w:r>
        <w:t xml:space="preserve">(4) Für Anbieter von Telemedien nach Absatz 2 Satz 1 gilt § 5 entsprechend.</w:t>
      </w:r>
    </w:p>
    <w:p>
      <w:r>
        <w:rPr>
          <w:color w:val="555555"/>
          <w:sz w:val="17"/>
        </w:rPr>
        <w:t xml:space="preserve">Zitiervorschlag: § 18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