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MStV (Brandenburg) — Europäische Produktionen, Eigen-, Auftrags- und Gemeinschaftsproduktionen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Fernsehveranstalter tragen zur Sicherung von deutschen und europäischen Film- und Fernsehproduktionen als Kulturgut sowie als Teil des audiovisuellen Erbes bei.</w:t>
      </w:r>
    </w:p>
    <w:p>
      <w:r>
        <w:t xml:space="preserve">(2) Zur Darstellung der Vielfalt im deutschsprachigen und europäischen Raum und zur Förderung von europäischen Film- und Fernsehproduktionen sollen die Fernsehveranstalter den Hauptteil ihrer insgesamt für Spielfilme, Fernsehspiele, Serien, Dokumentarsendungen und vergleichbare Produktionen vorgesehenen Sendezeit europäischen Werken entsprechend dem europäischen Recht vorbehalten.</w:t>
      </w:r>
    </w:p>
    <w:p>
      <w:r>
        <w:t xml:space="preserve">(3) Fernsehvollprogramme sollen einen wesentlichen Anteil an Eigenproduktionen sowie Auftrags- und Gemeinschaftsproduktionen aus dem deutschsprachigen und europäischen Raum enthalten. Das gleiche gilt für Fernsehspartenprogramme, soweit dies nach ihren inhaltlichen Schwerpunkten möglich ist.</w:t>
      </w:r>
    </w:p>
    <w:p>
      <w:r>
        <w:t xml:space="preserve">(4) Die in der ARD zusammengeschlossenen Landesrundfunkanstalten, das ZDF und das Deutschlandradio sind verpflichtet, den nach § 111a zuständigen Behörden die zur Berichterstattung nach Artikel 16 Abs. 3 der Richtlinie 2010/13/EU erforderlichen Informationen und Unterlagen auf Verlangen zur Verfügung zu stellen. Gleiches gilt für nach den Absätzen 1 bis 3 verpflichtete private Fernsehveranstalter, die auf Verlangen die Informationen und Unterlagen der zuständigen Landesmedienanstalt zur Verfügung zu stellen haben. Diese leitet die Informationen und Unterlagen an die nach § 111a zuständigen Behörden weiter.</w:t>
      </w:r>
    </w:p>
    <w:p>
      <w:r>
        <w:t xml:space="preserve">(5) Im Rahmen seines Programmauftrages und unter Berücksichtigung der Grundsätze von Wirtschaftlichkeit und Sparsamkeit ist der öffentlich-rechtliche Rundfunk zur qualitativen und quantitativen Sicherung seiner Programmbeschaffung berechtigt, sich an Filmförderungen zu beteiligen, ohne dass unmittelbar eine Gegenleistung erfolgen muss. Weitere landesrechtliche Regelungen bleiben unberührt.</w:t>
      </w:r>
    </w:p>
    <w:p>
      <w:r>
        <w:rPr>
          <w:color w:val="555555"/>
          <w:sz w:val="17"/>
        </w:rPr>
        <w:t xml:space="preserve">Zitiervorschlag: § 15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