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122 MStV (Brandenburg) — Regelung für Bayern</w:t>
      </w:r>
    </w:p>
    <w:p>
      <w:r>
        <w:rPr>
          <w:color w:val="555555"/>
          <w:sz w:val="18"/>
        </w:rPr>
        <w:t xml:space="preserve">Medienstaatsvertrag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23.08.2026 (konsolidierte Textfassung, kein amtliches Inkrafttretensdatum)</w:t>
      </w:r>
    </w:p>
    <w:p>
      <w:r>
        <w:t xml:space="preserve">Der Freistaat Bayern ist berechtigt, eine Verwendung des Anteils am Rundfunkbeitrag nach § 112 zur Finanzierung der landesgesetzlich bestimmten Aufgaben der Bayerischen Landeszentrale für Neue Medien im Rahmen der öffentlich-rechtlichen Trägerschaft vorzusehen. Im Übrigen finden die für private Veranstalter geltenden Bestimmungen dieses Staatsvertrages auf Anbieter nach bayerischem Recht entsprechende Anwendung. Abweichende Regelungen zu § 8 Absatz 9 Satz 1 1. Variante zur Umsetzung von Vorgaben der Landesverfassung sind zulässig.</w:t>
      </w:r>
    </w:p>
    <w:p>
      <w:r>
        <w:rPr>
          <w:color w:val="555555"/>
          <w:sz w:val="17"/>
        </w:rPr>
        <w:t xml:space="preserve">Zitiervorschlag: § 122 MStV (Brandenburg)</w:t>
      </w:r>
    </w:p>
    <w:p>
      <w:r>
        <w:rPr>
          <w:color w:val="555555"/>
          <w:sz w:val="17"/>
        </w:rPr>
        <w:t xml:space="preserve">Quelle: bravors, abgerufen 24.08.2026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https://recht.nulegal.eu/gesetze/MStV/122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