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MStV (Brandenburg) — Datenverarbeitung zu journalistischen Zwecken, Medienprivileg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die in der ARD zusammengeschlossenen Landesrundfunkanstalten, das ZDF, das Deutschlandradio oder private Rundfunkveranstalter personenbezogene Daten zu journalistischen Zwecken verarbeiten, ist es den hiermit befassten Personen untersagt, diese personenbezogenen Daten zu anderen Zwecken zu verarbeiten (Datengeheimnis). Diese Personen sind bei der Aufnahme ihrer Tätigkeit auf das Datengeheimnis zu verpflichten. Das Datengeheimnis besteht auch nach Beendigung ihrer Tätigkeit fort. Im Übrigen finden für die Datenverarbeitung zu journalistischen Zwecken von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außer den Kapiteln I, VIII, X und XI nur die Artikel 5 Abs. 1 Buchst. f in Verbindung mit Abs. 2, Artikel 24 und Artikel 32 Anwendung. Artikel 82 und 83 der Verordnung (EU) 2016/679 gelten mit der Maßgabe, dass nur für eine Verletzung des Datengeheimnisses gemäß den Sätzen 1 bis 3 sowie für unzureichende Maßnahmen nach Artikel 5 Abs. 1 Buchst. f, Artikel 24 und 32 der Verordnung (EU) 2016/679 gehaftet wird. Die Sätze 1 bis 5 gelten entsprechend für die zu den in Satz 1 genannten Stellen gehörenden Hilfs- und Beteiligungsunternehmen. Die in der ARD zusammengeschlossenen Landesrundfunkanstalten, das ZDF, das Deutschlandradio und andere Rundfunkveranstalter sowie ihre Verbände und Vereinigungen können sich Verhaltenskodizes geben, die in einem transparenten Verfahren erlassen und veröffentlicht werden. Den betroffenen Personen stehen nur die in den Absätzen 2 und 3 genannten Rechte zu.</w:t>
      </w:r>
    </w:p>
    <w:p>
      <w:r>
        <w:t xml:space="preserve">(2) Führt die journalistische Verarbeitung personenbezogener Daten zur Verbreitung von Gegendarstellungen der betroffenen Person oder zu Verpflichtungserklärungen, Beschlüssen oder Urteilen über die Unterlassung der Verbreitung oder über den Widerruf des Inhalts der Daten, so sind diese Gegendarstellungen, Verpflichtungserklärungen und Widerrufe zu den gespeicherten Daten zu nehmen und dort für dieselbe Zeitdauer aufzubewahren wie die Daten selbst sowie bei einer Übermittlung der Daten gemeinsam mit diesen zu übermitteln.</w:t>
      </w:r>
    </w:p>
    <w:p>
      <w:r>
        <w:t xml:space="preserve">(3) Wird jemand durch eine Berichterstattung in seinem Persönlichkeitsrecht beeinträchtigt, kann die betroffene Person Auskunft über die der Berichterstattung zugrunde liegenden, zu ihrer Person gespeicherten Daten verlangen. Die Auskunft kann nach Abwägung der schutzwürdigen Interessen der Beteiligten verweigert werden, soweit</w:t>
      </w:r>
    </w:p>
    <w:p>
      <w:r>
        <w:t xml:space="preserve">aus den Daten auf Personen, die bei der Vorbereitung, Herstellung oder Verbreitung von Rundfunksendungen mitwirken oder mitgewirkt haben, geschlossen werden kann,</w:t>
      </w:r>
    </w:p>
    <w:p>
      <w:r>
        <w:t xml:space="preserve">aus den Daten auf die Person des Einsenders oder des Gewährsträgers von Beiträgen, Unterlagen und Mitteilungen für den redaktionellen Teil geschlossen werden kann oder</w:t>
      </w:r>
    </w:p>
    <w:p>
      <w:r>
        <w:t xml:space="preserve">durch die Mitteilung der recherchierten oder sonst erlangten Daten die journalistische Aufgabe durch Ausforschung des Informationsbestandes beeinträchtigt würde.</w:t>
      </w:r>
    </w:p>
    <w:p>
      <w:r>
        <w:t xml:space="preserve">Die betroffene Person kann die unverzügliche Berichtigung unrichtiger personenbezogener Daten im Datensatz oder die Hinzufügung einer eigenen Darstellung von angemessenem Umfang verlangen. Die weitere Speicherung der personenbezogenen Daten ist rechtmäßig, wenn dies für die Ausübung des Rechts auf freie Meinungsäußerung und Information oder zur Wahrnehmung berechtigter Interessen erforderlich ist.</w:t>
      </w:r>
    </w:p>
    <w:p>
      <w:r>
        <w:t xml:space="preserve">(4) Für private Rundfunkveranstalter sowie zu diesen gehörende Beteiligungs- und Hilfsunternehmen wird die Aufsicht über die Einhaltung der geltenden datenschutzrechtlichen Bestimmungen durch Landesrecht bestimmt. Regelungen dieses Staatsvertrages bleiben unberührt.</w:t>
      </w:r>
    </w:p>
    <w:p>
      <w:r>
        <w:t xml:space="preserve">(5) Die Absätze 1 bis 4 gelten auch für Teleshoppingkanäle.</w:t>
      </w:r>
    </w:p>
    <w:p>
      <w:r>
        <w:rPr>
          <w:color w:val="555555"/>
          <w:sz w:val="17"/>
        </w:rPr>
        <w:t xml:space="preserve">Zitiervorschlag: § 12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