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MStV (Brandenburg) — Finanzierung besonderer Aufgaben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in § 10 des Rundfunkfinanzierungsstaatsvertrages bestimmte Anteil kann für die Finanzierung folgender Aufgaben verwendet werden:</w:t>
      </w:r>
    </w:p>
    <w:p>
      <w:r>
        <w:t xml:space="preserve">Zulassungs- und Aufsichtsfunktionen der Landesmedienanstalten einschließlich hierfür notwendiger planerischer, insbesondere technischer Vorarbeiten,</w:t>
      </w:r>
    </w:p>
    <w:p>
      <w:r>
        <w:t xml:space="preserve">die Förderung offener Kanäle.</w:t>
      </w:r>
    </w:p>
    <w:p>
      <w:r>
        <w:t xml:space="preserve">Mittel aus dem Anteil nach Satz 1 können aufgrund besonderer Ermächtigung durch den Landesgesetzgeber auch für die Finanzierung folgender Aufgaben verwendet werden:</w:t>
      </w:r>
    </w:p>
    <w:p>
      <w:r>
        <w:t xml:space="preserve">Förderung von landesrechtlich gebotener technischer Infrastruktur zur Versorgung des Landes und zur Förderung von Projekten für neuartige Rundfunkübertragungstechniken und</w:t>
      </w:r>
    </w:p>
    <w:p>
      <w:r>
        <w:t xml:space="preserve">Formen der nichtkommerziellen Veranstaltung von lokalem und regionalem Rundfunk und Projekte zur Förderung der Medienkompetenz.</w:t>
      </w:r>
    </w:p>
    <w:p>
      <w:r>
        <w:t xml:space="preserve">(2) Das Recht des Landesgesetzgebers, der Landesmedienanstalt nur einen Teil des Anteils nach Absatz 1 zuzuweisen, bleibt unberührt.</w:t>
      </w:r>
    </w:p>
    <w:p>
      <w:r>
        <w:t xml:space="preserve">(3) Soweit der Anteil nach Absatz 1 nicht in Anspruch genommen wird, steht er den jeweiligen Landesrundfunkanstalten zu. Eine landesgesetzliche Zweckbestimmung ist zulässig.</w:t>
      </w:r>
    </w:p>
    <w:p>
      <w:r>
        <w:rPr>
          <w:color w:val="555555"/>
          <w:sz w:val="17"/>
        </w:rPr>
        <w:t xml:space="preserve">Zitiervorschlag: § 112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