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MStV (Brandenburg) — Maßnahmen bei Rechtsverstößen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Stellt die zuständige Landesmedienanstalt einen Verstoß gegen die Bestimmungen dieses Staatsvertrages mit Ausnahme von § 17, § 18 Abs. 2 und 4, § 20 und § 23 Abs. 2 fest, trifft sie die erforderlichen Maßnahmen. Maßnahmen sind insbesondere Beanstandung, Untersagung, Sperrung, Rücknahme und Widerruf. Die Bestimmungen des Jugendmedienschutz-Staatsvertrages bleiben unberührt. Satz 1 gilt nicht für Verstöße gegen § 19 Abs. 1 und 2 von Anbietern,</w:t>
      </w:r>
    </w:p>
    <w:p>
      <w:r>
        <w:t xml:space="preserve">im Sinne des § 19 Abs. 1 Satz 1,</w:t>
      </w:r>
    </w:p>
    <w:p>
      <w:r>
        <w:t xml:space="preserve">die der Selbstregulierung durch den Pressekodex und der Beschwerdeordnung des deutschen Presserates unterliegen oder</w:t>
      </w:r>
    </w:p>
    <w:p>
      <w:r>
        <w:t xml:space="preserve">die einer anerkannten Einrichtung der Freiwilligen Selbstkontrolle im Sinne des § 19 Abs. 3 angeschlossen sind.</w:t>
      </w:r>
    </w:p>
    <w:p>
      <w:r>
        <w:t xml:space="preserve">(2) Eine Untersagung darf nicht erfolgen, wenn die Maßnahme außer Verhältnis zur Bedeutung des Angebots für den Anbieter und die Allgemeinheit steht. Eine Untersagung darf nur erfolgen, wenn ihr Zweck nicht in anderer Weise erreicht werden kann. Die Untersagung ist, soweit ihr Zweck dadurch erreicht werden kann, auf bestimmte Arten und Teile von Angeboten oder zeitlich zu beschränken. Bei journalistisch-redaktionell gestalteten Angeboten, in denen ausschließlich vollständig oder teilweise Inhalte periodischer Druckerzeugnisse in Text oder Bild wiedergegeben werden, ist eine Sperrung nur unter den Voraussetzungen des § 97 Abs. 5 Satz 2 und des § 98 der Strafprozessordnung zulässig. Die Befugnisse der Aufsichtsbehörden zur Durchsetzung der Vorschriften der allgemeinen Gesetze und der gesetzlichen Bestimmungen zum Schutz der persönlichen Ehre bleiben unberührt.</w:t>
      </w:r>
    </w:p>
    <w:p>
      <w:r>
        <w:t xml:space="preserve">(3) Erweisen sich Maßnahmen gegenüber dem Veranstalter oder Anbieter als nicht durchführbar oder nicht Erfolg versprechend, können Maßnahmen zur Entfernung oder Sperrung von Angeboten nach Absatz 1 auch gegen Dritte unter Beachtung der Vorgaben des Digitale-Dienste-Gesetzes und der Verordnung (EU) 2022/2065 gerichtet werden, sofern dies technisch möglich und zumutbar ist. Gleiches gilt für Angebote, die mit bereits zur Sperrung angeordneten Angeboten ganz oder im Wesentlichen inhaltsgleich sind. Artikel 8 der Verordnung (EU) 2022/2065 bleibt unberührt.</w:t>
      </w:r>
    </w:p>
    <w:p>
      <w:r>
        <w:t xml:space="preserve">(4) Der Abruf von Angeboten im Rahmen der Aufsicht ist unentgeltlich. Diensteanbieter haben dies sicherzustellen. Der Anbieter darf seine Angebote nicht gegen den Abruf durch die zuständige Aufsichtsbehörde sperren.</w:t>
      </w:r>
    </w:p>
    <w:p>
      <w:r>
        <w:t xml:space="preserve">(5) Jede Landesmedienanstalt kann der zuständigen Landesmedienanstalt mitteilen, dass ein bundesweit ausgerichtetes Angebot gegen die Bestimmungen dieses Staatsvertrages verstößt. Geht eine Mitteilung nach Satz 1 bei der zuständigen Landesmedienanstalt ein, legt der nach Landesrecht bestimmte gesetzliche Vertreter unverzüglich die Mitteilung sowie die vorhandenen Unterlagen dem nach den §§ 104 und 105 zuständigen Organ vor.</w:t>
      </w:r>
    </w:p>
    <w:p>
      <w:r>
        <w:t xml:space="preserve">(6) Die Landesmedienanstalten entwickeln, führen ein und aktualisieren regelmäßig geeignete Verfahren,</w:t>
      </w:r>
    </w:p>
    <w:p>
      <w:r>
        <w:t xml:space="preserve">um die Übereinstimmung der Dienste, die den Zugang zu audiovisuellen Mediendiensten ermöglichen, mit den Anforderungen der §§ 99a bis 99d sowie den hierzu erlassenen Satzungen oder Richtlinien der Landesmedienanstalten zu kontrollieren,</w:t>
      </w:r>
    </w:p>
    <w:p>
      <w:r>
        <w:t xml:space="preserve">um Beschwerden oder Berichten über diese Dienste nachzugehen, wonach diese den Anforderungen der §§ 99a bis 99d sowie den hierzu erlassenen Satzungen oder Richtlinien der Landesmedienanstalten nicht entsprechen,</w:t>
      </w:r>
    </w:p>
    <w:p>
      <w:r>
        <w:t xml:space="preserve">um zu kontrollieren, dass die notwendigen Korrekturmaßnahmen von dem Anbieter durchgeführt worden sind.</w:t>
      </w:r>
    </w:p>
    <w:p>
      <w:r>
        <w:rPr>
          <w:color w:val="555555"/>
          <w:sz w:val="17"/>
        </w:rPr>
        <w:t xml:space="preserve">Zitiervorschlag: § 109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https://recht.nulegal.eu/gesetze/MStV/109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