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MStV (Brandenburg) — Verfahren bei Zulassung, Zuweisung und Anzeige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Geht ein Antrag oder eine Anzeige nach § 105 Abs. 1 Satz 1 Nr. 5, 6, 8 oder 13 bei der zuständigen Landesmedienanstalt ein, legt der nach Landesrecht bestimmte gesetzliche Vertreter unverzüglich den Antrag oder die Anzeige sowie die vorhandenen Unterlagen der ZAK und in den Fällen des § 105 Abs. 1 Satz 1 Nr. 5 zusätzlich der KEK vor.</w:t>
      </w:r>
    </w:p>
    <w:p>
      <w:r>
        <w:t xml:space="preserve">(2) Kann nicht allen Anträgen nach § 105 Abs. 1 Satz 1 Nr. 13 entsprochen werden, entscheidet die GVK.</w:t>
      </w:r>
    </w:p>
    <w:p>
      <w:r>
        <w:t xml:space="preserve">(3) Absatz 1 gilt entsprechend für die Beurteilung von Fragestellungen der Sicherung von Meinungsvielfalt durch die KEK im Rahmen ihrer Zuständigkeit in anderen Fällen als dem der Zulassung eines bundesweiten privaten Veranstalters.</w:t>
      </w:r>
    </w:p>
    <w:p>
      <w:r>
        <w:rPr>
          <w:color w:val="555555"/>
          <w:sz w:val="17"/>
        </w:rPr>
        <w:t xml:space="preserve">Zitiervorschlag: § 107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