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MStV (Brandenburg) — Zuständige Landesmedienanstalt</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nachfolgend nichts anderes bestimmt ist, ist für bundesweit ausgerichtete Angebote die Landesmedienanstalt des Landes zuständig, in dem der betroffene Veranstalter, Anbieter, Bevollmächtigte nach § 79 Abs. 1 Satz 2 oder Verantwortliche nach § 18 Abs. 2 seinen Sitz, Wohnsitz oder in Ermangelung dessen seinen ständigen Aufenthalt hat. Sind nach Satz 1 mehrere Landesmedienanstalten zuständig oder hat der Veranstalter oder Anbieter seinen Sitz im Ausland, entscheidet die Landesmedienanstalt, die zuerst mit der Sache befasst worden ist.</w:t>
      </w:r>
    </w:p>
    <w:p>
      <w:r>
        <w:t xml:space="preserve">(2) Zuständig in den Fällen des § 105 Abs. 1 Satz 1 Nr. 1, 7, 9 und 14 sowie in den Fällen der Rücknahme oder des Widerrufs der Zulassung oder der Zuweisung ist die Landesmedienanstalt, die dem Veranstalter die Zulassung erteilt, die Zuweisung vorgenommen oder die Anzeige entgegengenommen hat; im Übrigen gilt Absatz 1. Zuständig im Fall des § 105 Abs. 1 Satz 1 Nr. 10 ist die Landesmedienanstalt des Landes, in dem der Zustellungsbevollmächtigte nach § 92 seinen Sitz hat. Solange kein Zustellungsbevollmächtigter benannt worden ist, gilt Absatz 1. Die zuständige Landesmedienanstalt legt die Sache unverzüglich zur Prüfung und Entscheidung der ZAK vor. Zuständig ist in den Fällen des § 105 Abs. 1 Satz 1 Nr. 3 und 4 die Landesmedienanstalt des Landes, in dem die Einrichtung der Freiwilligen Selbstkontrolle ihren Sitz hat. Ergibt sich danach keine Zuständigkeit, ist diejenige Landesmedienanstalt zuständig, bei der der Antrag auf Anerkennung gestellt wurde.</w:t>
      </w:r>
    </w:p>
    <w:p>
      <w:r>
        <w:t xml:space="preserve">(3) Im Übrigen richtet sich die Zuständigkeit nach Landesrecht.</w:t>
      </w:r>
    </w:p>
    <w:p>
      <w:r>
        <w:rPr>
          <w:color w:val="555555"/>
          <w:sz w:val="17"/>
        </w:rPr>
        <w:t xml:space="preserve">Zitiervorschlag: § 106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https://recht.nulegal.eu/gesetze/MStV/106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