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MStV (Brandenburg) — Freie Verbreitung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Verbreitung bundesweit empfangbarer Fernsehprogramme, die in rechtlich zulässiger Weise in einem anderen Mitgliedstaat der Europäischen Union in Übereinstimmung mit Artikel 2 der Richtlinie 2010/13/EU oder in einem Staat, der das Europäische Übereinkommen über das grenzüberschreitende Fernsehen ratifiziert hat, und nicht Mitglied der Europäischen Union ist, in Übereinstimmung mit den Bestimmungen des Europäischen Übereinkommens über das grenzüberschreitende Fernsehen veranstaltet werden, ist zulässig. Die Verbreitung der in Satz 1 genannten Fernsehprogramme aus einem anderen Mitgliedstaat der Europäischen Union kann nur in Übereinstimmung mit Artikel 3 der Richtlinie 2010/13/EU, die Verbreitung der in Satz 1 genannten Fernsehprogramme aus einem Staat, der das Europäische Übereinkommen über das grenzüberschreitende Fernsehen ratifiziert hat, und nicht Mitglied der Europäischen Union ist, nur in Übereinstimmung mit den Bestimmungen des Europäischen Übereinkommens über das grenzüberschreitende Fernsehen ausgesetzt werden.</w:t>
      </w:r>
    </w:p>
    <w:p>
      <w:r>
        <w:t xml:space="preserve">(2) Veranstalter anderer als der in Absatz 1 genannten Fernsehprogramme haben die Weiterverbreitung mindestens einen Monat vor Beginn bei der Landesmedienanstalt anzuzeigen, in deren Geltungsbereich die Programme verbreitet werden sollen. Die Anzeige kann auch der Anbieter einer Medienplattform vornehmen. Die Anzeige muss die Nennung eines Programmverantwortlichen, eine Beschreibung des Programms und die Vorlage einer Zulassung oder eines vergleichbaren Dokuments beinhalten. Die Weiterverbreitung ist dem Anbieter einer Medienplattform zu untersagen, wenn das Rundfunkprogramm nicht den Anforderungen des § 3, des § 53 Abs. 1 Nr. 1 bis 4, Abs. 2 und 3 oder des Jugendmedienschutz-Staatsvertrages entspricht oder wenn der Veranstalter nach dem geltenden Recht des Ursprungslandes zur Veranstaltung von Rundfunk nicht befugt ist oder wenn das Programm nicht inhaltlich unverändert verbreitet wird.</w:t>
      </w:r>
    </w:p>
    <w:p>
      <w:r>
        <w:t xml:space="preserve">(3) Landesrechtliche Regelungen zur analogen Kanalbelegung für Rundfunk sind zulässig, soweit sie zur Erreichung klar umrissener Ziele von allgemeinem Interesse erforderlich sind. Sie können insbesondere zur Sicherung einer pluralistischen, am Angebot der Meinungsvielfalt und Angebotsvielfalt orientierten Medienordnung getroffen werden. Einzelheiten, insbesondere die Rangfolge bei der Belegung der Kabelkanäle, regelt das Landesrecht.</w:t>
      </w:r>
    </w:p>
    <w:p>
      <w:r>
        <w:t xml:space="preserve">(4) Ferner können angemessene Maßnahmen in Übereinstimmung mit Artikel 4 Abs. 3 der Richtlinie 2010/13/EU unter Wahrung der sonstigen Regelungen ihres Artikels 4 gegen den Mediendiensteanbieter ergriffen werden, der der Rechtshoheit eines anderen Mitgliedstaats unterworfen ist und einen audiovisuellen Mediendienst erbringt, der ganz oder vorwiegend auf Deutschland ausgerichtet ist, soweit die Bundesrepublik Deutschland im öffentlichen Interesse liegende ausführlichere oder strengere Bestimmungen nach Artikel 4 Absatz 1 der Richtlinie 2010/13/EU erlassen hat.</w:t>
      </w:r>
    </w:p>
    <w:p>
      <w:r>
        <w:t xml:space="preserve">VII. Abschnitt</w:t>
      </w:r>
    </w:p>
    <w:p>
      <w:r>
        <w:t xml:space="preserve">Medienaufsicht</w:t>
      </w:r>
    </w:p>
    <w:p>
      <w:r>
        <w:rPr>
          <w:color w:val="555555"/>
          <w:sz w:val="17"/>
        </w:rPr>
        <w:t xml:space="preserve">Zitiervorschlag: § 103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