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MStV (Brandenburg) — Zuweisung von drahtlosen Übertragungskapazitäten an private Anbieter durch die zuständige Landesmedienanstalt</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Übertragungskapazitäten für drahtlose bundesweite Versorgungsbedarfe privater Anbieter können Rundfunkveranstaltern, Anbietern von Telemedien oder Anbietern von Medienplattformen durch die zuständige Landesmedienanstalt zugewiesen werden.</w:t>
      </w:r>
    </w:p>
    <w:p>
      <w:r>
        <w:t xml:space="preserve">(2) Werden den Landesmedienanstalten Übertragungskapazitäten zugeordnet, bestimmen sie unverzüglich Beginn und Ende einer Ausschlussfrist, innerhalb der schriftliche Anträge auf Zuweisung von Übertragungskapazitäten gestellt werden können. Beginn und Ende der Antragsfrist, das Verfahren und die wesentlichen Anforderungen an die Antragstellung, insbesondere wie den Anforderungen dieses Staatsvertrages zur Sicherung der Meinungsvielfalt und Angebotsvielfalt genügt werden kann, sind von den Landesmedienanstalten zu bestimmen und in geeigneter Weise zu veröffentlichen (Ausschreibung).</w:t>
      </w:r>
    </w:p>
    <w:p>
      <w:r>
        <w:t xml:space="preserve">(3) Kann nicht allen Anträgen auf Zuweisung von Übertragungskapazitäten entsprochen werden, wirkt die zuständige Landesmedienanstalt auf eine Verständigung zwischen den Antragstellern hin. Kommt eine Verständigung zustande, legt sie diese ihrer Entscheidung über die Aufteilung der Übertragungskapazitäten zu Grunde, wenn nach den vorgelegten Unterlagen erwartet werden kann, dass in der Gesamtheit der Angebote die Vielfalt der Meinungen und Angebotsvielfalt zum Ausdruck kommt.</w:t>
      </w:r>
    </w:p>
    <w:p>
      <w:r>
        <w:t xml:space="preserve">(4) Lässt sich innerhalb der von der zuständigen Landesmedienanstalt zu bestimmenden angemessenen Frist keine Einigung erzielen oder entspricht die vorgesehene Aufteilung voraussichtlich nicht dem Gebot der Meinungsvielfalt und Angebotsvielfalt, weist die zuständige Landesmedienanstalt dem Antragsteller die Übertragungskapazität zu, der am ehesten erwarten lässt, dass sein Angebot</w:t>
      </w:r>
    </w:p>
    <w:p>
      <w:r>
        <w:t xml:space="preserve">die Meinungsvielfalt und Angebotsvielfalt fördert,</w:t>
      </w:r>
    </w:p>
    <w:p>
      <w:r>
        <w:t xml:space="preserve">auch das öffentliche Geschehen, die politischen Ereignisse sowie das kulturelle Leben darstellt und</w:t>
      </w:r>
    </w:p>
    <w:p>
      <w:r>
        <w:t xml:space="preserve">bedeutsame politische, weltanschauliche und gesellschaftliche Gruppen zu Wort kommen lässt.</w:t>
      </w:r>
    </w:p>
    <w:p>
      <w:r>
        <w:t xml:space="preserve">In die Auswahlentscheidung ist ferner einzubeziehen, ob das Angebot wirtschaftlich tragfähig erscheint sowie Nutzerinteressen und -akzeptanz hinreichend berücksichtigt. Für den Fall, dass die Übertragungskapazität einem Anbieter einer Medienplattform zugewiesen werden soll, ist des Weiteren zu berücksichtigen, inwieweit sichergestellt ist, dass das Angebot den Vorgaben der §§ 82 und 83 genügt.</w:t>
      </w:r>
    </w:p>
    <w:p>
      <w:r>
        <w:t xml:space="preserve">(5) Die Zuweisung von Übertragungskapazitäten erfolgt für die Dauer von zehn Jahren. Eine einmalige Verlängerung um zehn Jahre ist zulässig. Die Zuweisung ist sofort vollziehbar. Wird eine zugewiesene Übertragungskapazität nach Ablauf von zwölf Monaten nach Zugang der Zuweisungsentscheidung nicht genutzt, kann die zuständige Landesmedienanstalt die Zuweisungsentscheidung nach § 108 Abs. 2 Nr. 2 Buchst. b widerrufen. Auf Antrag des Zuweisungsempfängers kann die Frist verlängert werden.</w:t>
      </w:r>
    </w:p>
    <w:p>
      <w:r>
        <w:rPr>
          <w:color w:val="555555"/>
          <w:sz w:val="17"/>
        </w:rPr>
        <w:t xml:space="preserve">Zitiervorschlag: § 102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https://recht.nulegal.eu/gesetze/MStV/102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