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101 MStV (Brandenburg) — Zuordnung von drahtlosen Übertragungskapazitäten</w:t>
      </w:r>
    </w:p>
    <w:p>
      <w:r>
        <w:rPr>
          <w:color w:val="555555"/>
          <w:sz w:val="18"/>
        </w:rPr>
        <w:t xml:space="preserve">Medienstaatsvertrag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Über die Anmeldung bei der für Telekommunikation zuständigen Regulierungsbehörde für bundesweite Versorgungsbedarfe an nicht leitungsgebundenen (drahtlosen) Übertragungskapazitäten entscheiden die Länder einstimmig. Für länderübergreifende Bedarfsanmeldungen gilt Satz 1 hinsichtlich der betroffenen Länder entsprechend.</w:t>
      </w:r>
    </w:p>
    <w:p>
      <w:r>
        <w:t xml:space="preserve">(2) Über die Zuordnung von Übertragungskapazitäten für bundesweite Versorgungsbedarfe an die in der ARD zusammengeschlossenen Landesrundfunkanstalten, das ZDF, das Deutschlandradio oder die Landesmedienanstalten entscheiden die Regierungschefinnen und Regierungschefs der Länder durch einstimmigen Beschluss.</w:t>
      </w:r>
    </w:p>
    <w:p>
      <w:r>
        <w:t xml:space="preserve">(3) Für die Zuordnung gelten insbesondere die folgenden Grundsätze:</w:t>
      </w:r>
    </w:p>
    <w:p>
      <w:r>
        <w:t xml:space="preserve">zur Verfügung stehende freie Übertragungskapazitäten sind den in der ARD zusammengeschlossenen Landesrundfunkanstalten, dem ZDF oder dem Deutschlandradio und den Landesmedienanstalten bekannt zu machen;</w:t>
      </w:r>
    </w:p>
    <w:p>
      <w:r>
        <w:t xml:space="preserve">reichen die Übertragungskapazitäten für den geltend gemachten Bedarf aus, sind diese entsprechend zuzuordnen;</w:t>
      </w:r>
    </w:p>
    <w:p>
      <w:r>
        <w:t xml:space="preserve">reichen die Übertragungskapazitäten für den geltend gemachten Bedarf nicht aus, wirken die Regierungschefinnen und Regierungschefs der Länder auf eine Verständigung zwischen den Beteiligten hin; Beteiligte sind für private Anbieter die Landesmedienanstalten;</w:t>
      </w:r>
    </w:p>
    <w:p>
      <w:r>
        <w:t xml:space="preserve">kommt eine Verständigung zwischen den Beteiligten nicht zu Stande, entscheiden die Regierungschefinnen und Regierungschefs der Länder, welche Zuordnung unter Berücksichtigung der Besonderheiten der Übertragungskapazität sowie unter Berücksichtigung des Gesamtangebots die größtmögliche Vielfalt des Angebotes sichert; dabei sind insbesondere folgende Kriterien zu berücksichtigen:</w:t>
      </w:r>
    </w:p>
    <w:p>
      <w:r>
        <w:t xml:space="preserve">Sicherung der Grundversorgung mit Rundfunk und Teilhabe des öffentlich-rechtlichen Rundfunks an neuen Techniken und Programmformen,</w:t>
      </w:r>
    </w:p>
    <w:p>
      <w:r>
        <w:t xml:space="preserve">Belange des privaten Rundfunks und der Anbieter von Telemedien.</w:t>
      </w:r>
    </w:p>
    <w:p>
      <w:r>
        <w:t xml:space="preserve">Die Zuordnung der Übertragungskapazität erfolgt für die Dauer von längstens 20 Jahren.</w:t>
      </w:r>
    </w:p>
    <w:p>
      <w:r>
        <w:t xml:space="preserve">(4) Der oder die Vorsitzende der Konferenz der Regierungschefinnen und Regierungschefs der Länder ordnet die Übertragungskapazität gemäß der Entscheidung der Regierungschefinnen und Regierungschefs der Länder nach Absatz 2 zu.</w:t>
      </w:r>
    </w:p>
    <w:p>
      <w:r>
        <w:t xml:space="preserve">(5) Wird eine zugeordnete Übertragungskapazität nach Ablauf von 18 Monaten nach Zugang der Zuordnungsentscheidung nicht für die Realisierung des Versorgungsbedarfs genutzt, kann die Zuordnungsentscheidung durch Beschluss der Regierungschefinnen und Regierungschefs der Länder widerrufen werden; eine Entschädigung wird nicht gewährt. Auf Antrag des Zuordnungsempfängers kann die Frist durch Entscheidung der Regierungschefinnen und Regierungschefs der Länder verlängert werden.</w:t>
      </w:r>
    </w:p>
    <w:p>
      <w:r>
        <w:t xml:space="preserve">(6) Die Regierungschefinnen und Regierungschefs der Länder vereinbaren zur Durchführung der Absätze 2 bis 5 Verfahrensregelungen.</w:t>
      </w:r>
    </w:p>
    <w:p>
      <w:r>
        <w:rPr>
          <w:color w:val="555555"/>
          <w:sz w:val="17"/>
        </w:rPr>
        <w:t xml:space="preserve">Zitiervorschlag: § 101 MStV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https://recht.nulegal.eu/gesetze/MStV/101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