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MStV (Brandenburg) — Anwendungsbereich</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die Veranstaltung und das Angebot, die Verbreitung und die Zugänglichmachung von Rundfunk und Telemedien in Deutschland.</w:t>
      </w:r>
    </w:p>
    <w:p>
      <w:r>
        <w:t xml:space="preserve">(2) Soweit dieser Staatsvertrag keine anderweitigen Regelungen für die Veranstaltung und Verbreitung von Rundfunk enthält oder solche Regelungen zulässt, sind die für die jeweilige Rundfunkanstalt oder den jeweiligen privaten Veranstalter geltenden landesrechtlichen Vorschriften anzuwenden.</w:t>
      </w:r>
    </w:p>
    <w:p>
      <w:r>
        <w:t xml:space="preserve">(3) Für Fernsehveranstalter gelten dieser Staatsvertrag und die landesrechtlichen Vorschriften, wenn sie in Deutschland niedergelassen sind. Ein Fernsehveranstalter gilt als in Deutschland niedergelassen, wenn</w:t>
      </w:r>
    </w:p>
    <w:p>
      <w:r>
        <w:t xml:space="preserve">die Hauptverwaltung in Deutschland liegt und die redaktionellen Entscheidungen über das Programm dort getroffen werden,</w:t>
      </w:r>
    </w:p>
    <w:p>
      <w:r>
        <w:t xml:space="preserve">die Hauptverwaltung in Deutschland liegt und die redaktionellen Entscheidungen über das Programm in einem anderen Mitgliedstaat der Europäischen Union getroffen werden, jedoch</w:t>
      </w:r>
    </w:p>
    <w:p>
      <w:r>
        <w:t xml:space="preserve">ein wesentlicher Teil des mit der Durchführung programmbezogener Tätigkeiten betrauten Personals in Deutschland tätig ist oder</w:t>
      </w:r>
    </w:p>
    <w:p>
      <w:r>
        <w:t xml:space="preserve">ein wesentlicher Teil des mit der Ausübung programmbezogener Tätigkeiten betrauten Personals sowohl in Deutschland als auch dem anderen Mitgliedstaat der Europäischen Union tätig ist oder</w:t>
      </w:r>
    </w:p>
    <w:p>
      <w:r>
        <w:t xml:space="preserve">ein wesentlicher Teil des mit programmbezogenen Tätigkeiten betrauten Personals weder in Deutschland noch dem anderen Mitgliedstaat der Europäischen Union tätig ist, aber der Fernsehveranstalter in Deutschland zuerst seine Tätigkeit begonnen hat und eine dauerhafte und tatsächliche Verbindung mit der Wirtschaft Deutschlands fortbesteht, oder</w:t>
      </w:r>
    </w:p>
    <w:p>
      <w:r>
        <w:t xml:space="preserve">die Hauptverwaltung in Deutschland liegt und die redaktionellen Entscheidungen über das Programm in einem Drittstaat getroffen werden oder umgekehrt und vorausgesetzt, ein wesentlicher Teil des mit der Durchführung programmbezogener Tätigkeiten betrauten Personals ist in Deutschland tätig.</w:t>
      </w:r>
    </w:p>
    <w:p>
      <w:r>
        <w:t xml:space="preserve">(4) Für Fernsehveranstalter, sofern sie nicht bereits aufgrund der Niederlassung der Rechtshoheit Deutschlands oder eines anderen Mitgliedstaats der Europäischen Union unterliegen, gelten dieser Staatsvertrag und die landesrechtlichen Vorschriften auch, wenn sie</w:t>
      </w:r>
    </w:p>
    <w:p>
      <w:r>
        <w:t xml:space="preserve">eine in Deutschland gelegene Satelliten-Bodenstation für die Aufwärtsstrecke nutzen oder</w:t>
      </w:r>
    </w:p>
    <w:p>
      <w:r>
        <w:t xml:space="preserve">zwar keine in einem Mitgliedstaat der Europäischen Union gelegene Satelliten-Bodenstation für die Aufwärtsstrecke nutzen, aber eine Deutschland zugewiesene Übertragungskapazität eines Satelliten nutzen. Liegt keines dieser beiden Kriterien vor, gelten dieser Staatsvertrag und die landesrechtlichen Vorschriften auch für Fernsehveranstalter, wenn sie in Deutschland gemäß den Artikeln 49 bis 55 des Vertrags über die Arbeitsweise der Europäischen Union ( ABl. C 202 vom 7. Juni 2016, S. 47), niedergelassen sind.</w:t>
      </w:r>
    </w:p>
    <w:p>
      <w:r>
        <w:t xml:space="preserve">(5) Dieser Staatsvertrag und die landesrechtlichen Vorschriften gelten nicht für Programme von Fernsehveranstaltern, die</w:t>
      </w:r>
    </w:p>
    <w:p>
      <w:r>
        <w:t xml:space="preserve">ausschließlich zum Empfang in Drittländern bestimmt sind und</w:t>
      </w:r>
    </w:p>
    <w:p>
      <w:r>
        <w:t xml:space="preserve">nicht unmittelbar oder mittelbar von der Allgemeinheit mit handelsüblichen Verbraucherendgeräten in einem Staat innerhalb des Geltungsbereichs der Richtlinie 2010/13/ EU des Europäischen Parlaments und des Rates vom 10. März 2010 zur Koordinierung bestimmter Rechts- und Verwaltungsvorschriften der Mitgliedstaaten über die Bereitstellung audiovisueller Mediendienste (Richtlinie über audiovisuelle Mediendienste) (ABl. L 95 vom 15.4.2010, S. 1), die durch die Richtlinie (EU) 2018/1808 (ABl. L 303 vom 28.11.2018, S. 69) geändert worden ist, empfangen werden.</w:t>
      </w:r>
    </w:p>
    <w:p>
      <w:r>
        <w:t xml:space="preserve">(6) Die Bestimmungen des II. und IV. Abschnitts gelten für Teleshoppingkanäle nur, sofern dies ausdrücklich bestimmt ist.</w:t>
      </w:r>
    </w:p>
    <w:p>
      <w:r>
        <w:t xml:space="preserve">(7) Für Anbieter von Telemedien, die zugleich digitale Dienste gemäß § 1 Abs. 4 Nr. 1 des Digitale-Dienste-Gesetzes sind, gilt dieser Staatsvertrag, wenn sie nach den §§ 2 und 3 des Digitale-Dienste-Gesetzes in Deutschland niedergelassen sind. Die §§ 2 und 3 des Digitale-Dienste-Gesetzes gelten entsprechend für Anbieter von Telemedien im Übrigen.</w:t>
      </w:r>
    </w:p>
    <w:p>
      <w:r>
        <w:t xml:space="preserve">(8) Abweichend von Absatz 7 gelten für Medienintermediäre, Medienplattformen und Benutzeroberflächen die besonderen Bestimmungen des 2. und 3. Unterabschnitts des V. Abschnitts, soweit sie zur Nutzung in Deutschland bestimmt sind. Medienintermediäre, Medienplattformen oder Benutzeroberflächen sind dann als zur Nutzung in Deutschland bestimmt anzusehen, wenn sie sich in der Gesamtschau, insbesondere durch die verwendete Sprache, die angebotenen Inhalte oder Marketingaktivitäten, an Nutzer in Deutschland richten oder in Deutschland einen nicht unwesentlichen Teil ihrer Refinanzierung erzielen. Für die Zwecke der §§ 97 bis 99 gilt dieser Staatsvertrag für Video-Sharing-Dienste im Anwendungsbereich der Richtlinie 2010/13/EU, wenn sie nach den §§ 2 und 3 des Digitale-Dienste-Gesetzes in Deutschland niedergelassen sind; im Übrigen gilt Satz 1.</w:t>
      </w:r>
    </w:p>
    <w:p>
      <w:r>
        <w:t xml:space="preserve">(9) Für Vermittlungsdienste im Sinne des Artikels 3 Buchst. g der Verordnung (EU) 2022/2065 des Europäischen Parlaments und des Rates vom 19. Oktober 2022 über einen Binnenmarkt für digitale Dienste und zur Änderung der Richtlinie 2000/31/EG (Gesetz über digitale Dienste) (ABl. L 277 vom 27.10. 2022, S. 1, L 310 vom 1.12.2022, S. 17) gilt dieser Staatsvertrag, soweit nicht die Verordnung (EU) 2022/2065 Anwendung findet.</w:t>
      </w:r>
    </w:p>
    <w:p>
      <w:r>
        <w:t xml:space="preserve">(10) Fernsehveranstalter sind verpflichtet, die nach Landesrecht zuständige Stelle über alle Änderungen zu informieren, die die Feststellung der Rechtshoheit nach den Absätzen 3 und 4 berühren könnten. Die Landesmedienanstalten erstellen eine Liste der der Rechtshoheit Deutschlands unterworfenen privaten Fernsehveranstalter, halten die Liste auf dem neuesten Stand und geben an, auf welchen der in den Absätzen 3 und 4 genannten Kriterien die Rechtshoheit beruht. Sie übermitteln die Liste an die nach § 111a zuständigen Behörden.</w:t>
      </w:r>
    </w:p>
    <w:p>
      <w:r>
        <w:rPr>
          <w:color w:val="555555"/>
          <w:sz w:val="17"/>
        </w:rPr>
        <w:t xml:space="preserve">Zitiervorschlag: § 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