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MSO (Bayern)</w:t>
      </w:r>
    </w:p>
    <w:p>
      <w:r>
        <w:rPr>
          <w:color w:val="555555"/>
          <w:sz w:val="18"/>
        </w:rPr>
        <w:t xml:space="preserve">Mittelschulordnung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7a, 25 Abs. 3 Satz 1, Art. 30a Abs. 5 Satz 4, Art. 32a Abs. 6 Satz 4, Art. 37 Abs. 3 Satz 3, Art. 41 Abs. 6 Satz 3 und Abs. 7 Satz 5, Art. 43 Abs. 1 Satz 4, Art. 44 Abs. 2 Satz 1, Art. 45 Abs. 2 Sätze 1 und 4, Art. 46 Abs. 4 Satz 3, Art. 49 Abs. 1 Satz 2, Art. 65 Abs. 1 Satz 4, Art. 68, 69 Abs. 7, Art. 86 Abs. 15, Art. 89 und 128 Abs. 1 des Bayerischen Gesetzes über das Erziehungs- und Unterrichtswesen (BayEUG) in der Fassung der Bekanntmachung vom 31. Mai 2000 (GVBl S. 414, ber. S. 632, BayRS 2230-1-1-UK), zuletzt geändert durch § 2 des Gesetzes vom 9. Juli 2012 (GVBl S. 344), erlässt das Bayerische Staatsministerium für Unterricht und Kultus folgende Verordnung:</w:t>
      </w:r>
    </w:p>
    <w:p>
      <w:r>
        <w:rPr>
          <w:color w:val="555555"/>
          <w:sz w:val="17"/>
        </w:rPr>
        <w:t xml:space="preserve">Zitiervorschlag: Eingangsformel MSO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https://recht.nulegal.eu/gesetze/MSO/eingangsformel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