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35 MSO (Bayern) — Inkrafttreten</w:t>
      </w:r>
    </w:p>
    <w:p>
      <w:r>
        <w:rPr>
          <w:color w:val="555555"/>
          <w:sz w:val="18"/>
        </w:rPr>
        <w:t xml:space="preserve">Mittelschulordnung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Diese Verordnung tritt am 1. August 2013 in Kraft.</w:t>
      </w:r>
    </w:p>
    <w:p>
      <w:r>
        <w:rPr>
          <w:color w:val="555555"/>
          <w:sz w:val="17"/>
        </w:rPr>
        <w:t xml:space="preserve">Zitiervorschlag: § 35 MSO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https://recht.nulegal.eu/gesetze/MSO/35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