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MSO (Bayern) — Nachholung und Wiederholung</w:t>
      </w:r>
    </w:p>
    <w:p>
      <w:r>
        <w:rPr>
          <w:color w:val="555555"/>
          <w:sz w:val="18"/>
        </w:rPr>
        <w:t xml:space="preserve">Mittelschulordnung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Wer infolge eines nicht von ihm zu vertretenden Grundes an der Abschlussprüfung ganz oder teilweise nicht teilgenommen hat, kann diese zu einem vom Staatsministerium festgesetzten Termin nachholen.</w:t>
      </w:r>
    </w:p>
    <w:p>
      <w:r>
        <w:t xml:space="preserve">(2) § 27 Abs. 3 gilt entsprechend. Voraussetzung ist der nochmalige Schulbesuch.</w:t>
      </w:r>
    </w:p>
    <w:p>
      <w:r>
        <w:t xml:space="preserve">(3) § 27 Abs. 4 gilt entsprechend. Soll zu diesem Zweck die Jahrgangsstufe wiederholt werden, bedarf dies der Genehmigung der Schulleiterin oder des Schulleiters.</w:t>
      </w:r>
    </w:p>
    <w:p>
      <w:r>
        <w:rPr>
          <w:color w:val="555555"/>
          <w:sz w:val="17"/>
        </w:rPr>
        <w:t xml:space="preserve">Zitiervorschlag: § 32 MSO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https://recht.nulegal.eu/gesetze/MSO/32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