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MRegV 2016 — (zu § 11)</w:t>
      </w:r>
    </w:p>
    <w:p>
      <w:r>
        <w:rPr>
          <w:color w:val="555555"/>
          <w:sz w:val="18"/>
        </w:rPr>
        <w:t xml:space="preserve">Mautdienst-Registrierungs-Verordnung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2016,1853)</w:t>
      </w:r>
    </w:p>
    <w:p>
      <w:r>
        <w:rPr>
          <w:rFonts w:ascii="Courier New" w:hAnsi="Courier New"/>
          <w:sz w:val="17"/>
        </w:rPr>
        <w:t xml:space="preserve">Lfd. Nr.    Gebührenpflichtige öffentliche Leistung    Gebühr in Euro</w:t>
      </w:r>
    </w:p>
    <w:p>
      <w:r>
        <w:rPr>
          <w:rFonts w:ascii="Courier New" w:hAnsi="Courier New"/>
          <w:sz w:val="17"/>
        </w:rPr>
        <w:t xml:space="preserve">1    Registrierung als Anbieter mautdienstbezogener Dienstleistungen nach den §§ 5 und 6 Absatz 1 des Mautsystemgesetzes    1 400 bis 10 000</w:t>
      </w:r>
    </w:p>
    <w:p>
      <w:r>
        <w:rPr>
          <w:rFonts w:ascii="Courier New" w:hAnsi="Courier New"/>
          <w:sz w:val="17"/>
        </w:rPr>
        <w:t xml:space="preserve">2    Jährliche Überprüfung der Registrierungsvoraussetzungen nach § 7 Absatz 2 Satz 1 des Mautsystemgesetzes    770 bis 5 840</w:t>
      </w:r>
    </w:p>
    <w:p>
      <w:r>
        <w:rPr>
          <w:rFonts w:ascii="Courier New" w:hAnsi="Courier New"/>
          <w:sz w:val="17"/>
        </w:rPr>
        <w:t xml:space="preserve">3    Für unter den Nummern 1 und 2 nicht aufgeführte öffentliche Leistungen können Gebühren erhoben werden in Höhe von    bis zu 500</w:t>
      </w:r>
    </w:p>
    <w:p>
      <w:r>
        <w:rPr>
          <w:rFonts w:ascii="Courier New" w:hAnsi="Courier New"/>
          <w:sz w:val="17"/>
        </w:rPr>
        <w:t xml:space="preserve">4    Ablehnung eines Antrags auf Registrierung als Anbieter mautdienstbezogener Dienstleistungen aus anderen Gründen als wegen Unzuständigkeit der Behörde    bis zu 75 Prozent der Gebühr für die Vornahme der öffentlichen Leistung</w:t>
      </w:r>
    </w:p>
    <w:p>
      <w:r>
        <w:rPr>
          <w:rFonts w:ascii="Courier New" w:hAnsi="Courier New"/>
          <w:sz w:val="17"/>
        </w:rPr>
        <w:t xml:space="preserve">5    Rücknahme eines Antrags auf Registrierung als Anbieter mautdienstbezogener Dienstleistungen nach Beginn der sachlichen Bearbeitung, jedoch vor deren Beendigung    bis zu 75 Prozent der Gebühr für die Vornahme der öffentlichen Leistung</w:t>
      </w:r>
    </w:p>
    <w:p>
      <w:r>
        <w:rPr>
          <w:rFonts w:ascii="Courier New" w:hAnsi="Courier New"/>
          <w:sz w:val="17"/>
        </w:rPr>
        <w:t xml:space="preserve">6    Widerruf oder Rücknahme der Registrierung als Anbieter mautdienstbezogener Dienstleistungen, soweit der Betroffene dazu Anlass gegeben hat    bis zur Höhe der für die öffentliche Leistung vorgesehenen Gebühr</w:t>
      </w:r>
    </w:p>
    <w:p>
      <w:r>
        <w:rPr>
          <w:rFonts w:ascii="Courier New" w:hAnsi="Courier New"/>
          <w:sz w:val="17"/>
        </w:rPr>
        <w:t xml:space="preserve">7    Teilweise oder vollständige Zurückweisung eines Widerspruchs, soweit der Widerspruch nicht nur deshalb keinen Erfolg hat, weil die Verletzung einer Verfahrens- oder Formvorschrift nach § 45 des Verwaltungsverfahrensgesetzes unbeachtlich ist    bis zur Höhe der für die öffentliche Leistung vorgesehenen Gebühr</w:t>
      </w:r>
    </w:p>
    <w:p>
      <w:r>
        <w:rPr>
          <w:rFonts w:ascii="Courier New" w:hAnsi="Courier New"/>
          <w:sz w:val="17"/>
        </w:rPr>
        <w:t xml:space="preserve">8    Rücknahme eines Widerspruchs nach Beginn der sachlichen Bearbeitung, jedoch vor deren Beendigung    bis zu 75 Prozent der Gebühr nach Nummer 7</w:t>
      </w:r>
    </w:p>
    <w:p>
      <w:r>
        <w:rPr>
          <w:rFonts w:ascii="Courier New" w:hAnsi="Courier New"/>
          <w:sz w:val="17"/>
        </w:rPr>
        <w:t xml:space="preserve">9    Erfolgloser Widerspruch, der sich ausschließlich gegen eine Kostenentscheidung richtet    bis zu 30 Prozent des streitigen Betrages</w:t>
      </w:r>
    </w:p>
    <w:p>
      <w:r>
        <w:rPr>
          <w:color w:val="555555"/>
          <w:sz w:val="17"/>
        </w:rPr>
        <w:t xml:space="preserve">Zitiervorschlag: Anlage MRegV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https://recht.nulegal.eu/gesetze/MRegV%202016/anlage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