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MRegV 2016 — Gewähr für Zuverlässigkeit</w:t>
      </w:r>
    </w:p>
    <w:p>
      <w:r>
        <w:rPr>
          <w:color w:val="555555"/>
          <w:sz w:val="18"/>
        </w:rPr>
        <w:t xml:space="preserve">Mautdienst-Registrierungs-Verordnung</w:t>
      </w:r>
    </w:p>
    <w:p>
      <w:r>
        <w:rPr>
          <w:color w:val="555555"/>
          <w:sz w:val="18"/>
        </w:rPr>
        <w:t xml:space="preserve">Stand: 09.03.2023 (konsolidierte Textfassung, kein amtliches Inkrafttretensdatum)</w:t>
      </w:r>
    </w:p>
    <w:p>
      <w:r>
        <w:t xml:space="preserve">(1) Die Voraussetzung des § 5 Nummer 7 des Mautsystemgesetzes ist insbesondere nicht erfüllt, wenn</w:t>
      </w:r>
    </w:p>
    <w:p>
      <w:pPr>
        <w:ind w:left="420"/>
      </w:pPr>
      <w:r>
        <w:t xml:space="preserve">1. der Antragsteller</w:t>
      </w:r>
    </w:p>
    <w:p>
      <w:pPr>
        <w:ind w:left="780"/>
      </w:pPr>
      <w:r>
        <w:t xml:space="preserve">a) sich</w:t>
      </w:r>
    </w:p>
    <w:p>
      <w:pPr>
        <w:ind w:left="1140"/>
      </w:pPr>
      <w:r>
        <w:t xml:space="preserve">aa) im Insolvenzverfahren,</w:t>
      </w:r>
    </w:p>
    <w:p>
      <w:pPr>
        <w:ind w:left="1140"/>
      </w:pPr>
      <w:r>
        <w:t xml:space="preserve">bb) in Liquidation oder</w:t>
      </w:r>
    </w:p>
    <w:p>
      <w:pPr>
        <w:ind w:left="1140"/>
      </w:pPr>
      <w:r>
        <w:t xml:space="preserve">cc) in einem damit vergleichbaren Verfahren eines anderen Mitgliedstaates der Europäischen Union oder eines anderen Vertragsstaates des Abkommens über den Europäischen Wirtschaftsraum</w:t>
      </w:r>
    </w:p>
    <w:p>
      <w:pPr>
        <w:ind w:left="780"/>
      </w:pPr>
      <w:r>
        <w:t xml:space="preserve">befindet,</w:t>
      </w:r>
    </w:p>
    <w:p>
      <w:pPr>
        <w:ind w:left="780"/>
      </w:pPr>
      <w:r>
        <w:t xml:space="preserve">b) die Geschäftstätigkeit eingestellt hat oder</w:t>
      </w:r>
    </w:p>
    <w:p>
      <w:pPr>
        <w:ind w:left="780"/>
      </w:pPr>
      <w:r>
        <w:t xml:space="preserve">c) Rückstände bei der Entrichtung von Steuern, Abgaben oder Beiträgen zur gesetzlichen Sozialversicherung bestehen oder</w:t>
      </w:r>
    </w:p>
    <w:p>
      <w:pPr>
        <w:ind w:left="420"/>
      </w:pPr>
      <w:r>
        <w:t xml:space="preserve">2. eine für die Führung der Geschäfte des Antragstellers bestellte Person nach Absatz 2 als nicht zuverlässig gilt.</w:t>
      </w:r>
    </w:p>
    <w:p>
      <w:r>
        <w:t xml:space="preserve">In den Fällen des § 6 Absatz 2 Satz 1 und § 7 Absatz 2 ist die Voraussetzung nach § 5 Nummer 7 des Mautsystemgesetzes zusätzlich von den verbundenen Unternehmen zu erfüllen.</w:t>
      </w:r>
    </w:p>
    <w:p>
      <w:r>
        <w:t xml:space="preserve">(2) Eine für die Führung der Geschäfte des Antragstellers bestellte Person gilt insbesondere nicht als zuverlässig, wenn sie in Deutschland oder einem anderen Mitgliedstaat der Europäischen Union oder einem anderen Vertragsstaat des Abkommens über den Europäischen Wirtschaftsraum wegen Betrugs, Subventionsbetrugs, Bestechung, Geldwäsche, Untreue, Korruption, Mitwirkung in oder Bildung einer kriminellen Vereinigung sowie Mitwirkung in oder Bildung einer terroristischen Vereinigung zu einer Freiheitsstrafe von mindestens einem Jahr rechtskräftig verurteilt worden ist.</w:t>
      </w:r>
    </w:p>
    <w:p>
      <w:r>
        <w:t xml:space="preserve">(3) Der Antragsteller hat das Erfüllen der Voraussetzung des § 5 Nummer 7 des Mautsystemgesetzes nachzuweisen durch</w:t>
      </w:r>
    </w:p>
    <w:p>
      <w:pPr>
        <w:ind w:left="420"/>
      </w:pPr>
      <w:r>
        <w:t xml:space="preserve">1. einen gültigen Auszug aus dem Handelsregister,</w:t>
      </w:r>
    </w:p>
    <w:p>
      <w:pPr>
        <w:ind w:left="420"/>
      </w:pPr>
      <w:r>
        <w:t xml:space="preserve">2. eine Bescheinigung in Steuersachen des Finanzamtes,</w:t>
      </w:r>
    </w:p>
    <w:p>
      <w:pPr>
        <w:ind w:left="420"/>
      </w:pPr>
      <w:r>
        <w:t xml:space="preserve">3. eine Unbedenklichkeitsbescheinigung der Krankenkassen, bei denen die Beschäftigten versichert sind, und der Berufsgenossenschaft,</w:t>
      </w:r>
    </w:p>
    <w:p>
      <w:pPr>
        <w:ind w:left="420"/>
      </w:pPr>
      <w:r>
        <w:t xml:space="preserve">4. den Antrag auf Vorlage eines Führungszeugnisses oder eines Europäischen Führungszeugnisses beim Bundesamt für Logistik und Mobilität und</w:t>
      </w:r>
    </w:p>
    <w:p>
      <w:pPr>
        <w:ind w:left="420"/>
      </w:pPr>
      <w:r>
        <w:t xml:space="preserve">5. einen Auszug aus dem Gewerbezentralregister zur Vorlage bei einer Behörde.</w:t>
      </w:r>
    </w:p>
    <w:p>
      <w:r>
        <w:t xml:space="preserve">(4) Die Unterlagen nach Absatz 3 dürfen zum Zeitpunkt der Antragstellung nicht älter als drei Monate sein und sind als Originaldokumente oder als amtlich beglaubigte Kopien der Originaldokumente vorzulegen.</w:t>
      </w:r>
    </w:p>
    <w:p>
      <w:r>
        <w:rPr>
          <w:color w:val="555555"/>
          <w:sz w:val="17"/>
        </w:rPr>
        <w:t xml:space="preserve">Zitiervorschlag: § 9 MRegV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https://recht.nulegal.eu/gesetze/MRegV%202016/9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