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MRegV 2016 — Risikomanagementplan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13.10.2021 (konsolidierte Textfassung, kein amtliches Inkrafttretensdatum)</w:t>
      </w:r>
    </w:p>
    <w:p>
      <w:r>
        <w:t xml:space="preserve">(1) Der Antragsteller hat das Erfüllen der Voraussetzung des § 5 Nummer 6 des Mautsystemgesetzes durch einen Risikomanagementplan und das Ergebnis eines Audits dieses Risikomanagementplans nachzuweisen.</w:t>
      </w:r>
    </w:p>
    <w:p>
      <w:r>
        <w:t xml:space="preserve">(2) Der Risikomanagementplan nach Absatz 1 muss mindestens Angaben zu den folgenden Risiken und die zu ihrer Behebung erforderlichen Minderungsmaßnahmen enthalten:</w:t>
      </w:r>
    </w:p>
    <w:p>
      <w:pPr>
        <w:ind w:left="420"/>
      </w:pPr>
      <w:r>
        <w:t xml:space="preserve">1. Unterbrechung des Geschäftsbetriebs, insbesondere der Datenverarbeitung,</w:t>
      </w:r>
    </w:p>
    <w:p>
      <w:pPr>
        <w:ind w:left="420"/>
      </w:pPr>
      <w:r>
        <w:t xml:space="preserve">2. Kapitalfluss- und Liquiditätsrisiko,</w:t>
      </w:r>
    </w:p>
    <w:p>
      <w:pPr>
        <w:ind w:left="420"/>
      </w:pPr>
      <w:r>
        <w:t xml:space="preserve">3. gesamtwirtschaftlicher Abschwung,</w:t>
      </w:r>
    </w:p>
    <w:p>
      <w:pPr>
        <w:ind w:left="420"/>
      </w:pPr>
      <w:r>
        <w:t xml:space="preserve">4. zunehmender Wettbewerb auf dem Markt mautdienstbezogener Leistungen,</w:t>
      </w:r>
    </w:p>
    <w:p>
      <w:pPr>
        <w:ind w:left="420"/>
      </w:pPr>
      <w:r>
        <w:t xml:space="preserve">5. Anerkennungsverlust und dessen Folgen, zum Beispiel Verlust von Kunden,</w:t>
      </w:r>
    </w:p>
    <w:p>
      <w:pPr>
        <w:ind w:left="420"/>
      </w:pPr>
      <w:r>
        <w:t xml:space="preserve">6. Nichterreichen oder Nichtaufrechterhaltung der vollständigen Abdeckung der nach § 12 Absatz 1 des Mautsystemgesetzes abzudeckenden mautpflichtigen Streckennetze in den Mitgliedstaaten der Europäischen Union und den anderen Vertragsstaaten des Abkommens über den Europäischen Wirtschaftsraum,</w:t>
      </w:r>
    </w:p>
    <w:p>
      <w:pPr>
        <w:ind w:left="420"/>
      </w:pPr>
      <w:r>
        <w:t xml:space="preserve">7. Schwierigkeiten bei der Erreichung der vertraglich vereinbarten Qualitätsbedingungen,</w:t>
      </w:r>
    </w:p>
    <w:p>
      <w:pPr>
        <w:ind w:left="420"/>
      </w:pPr>
      <w:r>
        <w:t xml:space="preserve">8. Haftungspflichten gegenüber Dritten,</w:t>
      </w:r>
    </w:p>
    <w:p>
      <w:pPr>
        <w:ind w:left="420"/>
      </w:pPr>
      <w:r>
        <w:t xml:space="preserve">9. gesetzgeberische Änderungen.</w:t>
      </w:r>
    </w:p>
    <w:p>
      <w:r>
        <w:t xml:space="preserve">(3) Der Risikomanagementplan und das Audit sind als Originaldokument oder als amtlich beglaubigte Kopie des Originaldokuments vorzulegen. Der Risikomanagementplan darf zum Zeitpunkt der Antragstellung nicht älter als sechs Monate sein.</w:t>
      </w:r>
    </w:p>
    <w:p>
      <w:r>
        <w:rPr>
          <w:color w:val="555555"/>
          <w:sz w:val="17"/>
        </w:rPr>
        <w:t xml:space="preserve">Zitiervorschlag: § 8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