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MRegV 2016 — Finanzielle Leistungsfähigkeit</w:t>
      </w:r>
    </w:p>
    <w:p>
      <w:r>
        <w:rPr>
          <w:color w:val="555555"/>
          <w:sz w:val="18"/>
        </w:rPr>
        <w:t xml:space="preserve">Mautdienst-Registrierungs-Verordnung</w:t>
      </w:r>
    </w:p>
    <w:p>
      <w:r>
        <w:rPr>
          <w:color w:val="555555"/>
          <w:sz w:val="18"/>
        </w:rPr>
        <w:t xml:space="preserve">Stand: 09.03.2023 (konsolidierte Textfassung, kein amtliches Inkrafttretensdatum)</w:t>
      </w:r>
    </w:p>
    <w:p>
      <w:r>
        <w:t xml:space="preserve">(1) Die Voraussetzung des § 5 Nummer 5 des Mautsystemgesetzes ist erfüllt, wenn der Antragsteller über die nach seinem Geschäftsmodell erforderlichen finanziellen Mittel zur Aufnahme und ordnungsgemäßen Führung des Betriebes der mautdienstbezogenen Leistungen in den nach § 12 Absatz 1 des Mautsystemgesetzes abzudeckenden mautpflichtigen Streckennetzen in den Mitgliedstaaten der Europäischen Union und den anderen Vertragsstaaten des Abkommens über den Europäischen Wirtschaftsraum verfügt.</w:t>
      </w:r>
    </w:p>
    <w:p>
      <w:r>
        <w:t xml:space="preserve">(2) Der Antragsteller kann sich auf die finanzielle Leistungsfähigkeit verbundener Unternehmen berufen. In diesem Fall hat der Antragsteller nachzuweisen, dass ihm die nach Satz 1 erforderlichen Mittel dauerhaft und verbindlich zur Verfügung stehen. Dies kann unter anderem durch die Vorlage von Verträgen oder entsprechender Verpflichtungserklärungen des Unternehmens oder der anderen verbundenen Unternehmen erfolgen.</w:t>
      </w:r>
    </w:p>
    <w:p>
      <w:r>
        <w:t xml:space="preserve">(3) Der Antragsteller hat das Erfüllen der Voraussetzung des § 5 Nummer 5 des Mautsystemgesetzes durch das Gutachten eines Wirtschaftsprüfers oder einer Wirtschaftsprüfungsgesellschaft nachzuweisen. Das Gutachten muss auf der Grundlage des Geschäftsmodells des Antragstellers zumindest die folgenden Kriterien als geprüft ausweisen:</w:t>
      </w:r>
    </w:p>
    <w:p>
      <w:pPr>
        <w:ind w:left="420"/>
      </w:pPr>
      <w:r>
        <w:t xml:space="preserve">1. verfügbare Finanzmittel einschließlich der Bankguthaben sowie möglicher Überziehungskredite und Darlehen,</w:t>
      </w:r>
    </w:p>
    <w:p>
      <w:pPr>
        <w:ind w:left="420"/>
      </w:pPr>
      <w:r>
        <w:t xml:space="preserve">2. als Sicherheit verfügbare Mittel und Vermögensgegenstände,</w:t>
      </w:r>
    </w:p>
    <w:p>
      <w:pPr>
        <w:ind w:left="420"/>
      </w:pPr>
      <w:r>
        <w:t xml:space="preserve">3. Eigenkapitalquote,</w:t>
      </w:r>
    </w:p>
    <w:p>
      <w:pPr>
        <w:ind w:left="420"/>
      </w:pPr>
      <w:r>
        <w:t xml:space="preserve">4. Anschaffungskosten für die Errichtung des Systems zum Erbringen mautdienstbezogener Leistungen,</w:t>
      </w:r>
    </w:p>
    <w:p>
      <w:pPr>
        <w:ind w:left="420"/>
      </w:pPr>
      <w:r>
        <w:t xml:space="preserve">5. Verbindlichkeiten,</w:t>
      </w:r>
    </w:p>
    <w:p>
      <w:pPr>
        <w:ind w:left="420"/>
      </w:pPr>
      <w:r>
        <w:t xml:space="preserve">6. Belastungen des Betriebsvermögens insbesondere mit Pfandrechten, Grundpfandrechten, Sicherungsrechten oder Eigentumsvorbehalten.</w:t>
      </w:r>
    </w:p>
    <w:p>
      <w:r>
        <w:t xml:space="preserve">(4) Das Gutachten nach Absatz 3 darf zum Zeitpunkt der Antragstellung nicht älter als drei Monate sein und ist als Originaldokument oder als amtlich beglaubigte Kopie des Originaldokuments vorzulegen.</w:t>
      </w:r>
    </w:p>
    <w:p>
      <w:r>
        <w:t xml:space="preserve">(5) Der Antragsteller hat auf Verlangen des Bundesamtes für Logistik und Mobilität zusätzlich die dem Gutachten zugrunde liegenden Unterlagen, insbesondere über das Geschäftsmodell, vorzulegen.</w:t>
      </w:r>
    </w:p>
    <w:p>
      <w:r>
        <w:rPr>
          <w:color w:val="555555"/>
          <w:sz w:val="17"/>
        </w:rPr>
        <w:t xml:space="preserve">Zitiervorschlag: § 7 MRegV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https://recht.nulegal.eu/gesetze/MRegV%202016/7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