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MRegV 2016 — Befähigung zum Erbringen mautdienstbezogener Leistungen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Voraussetzung des § 5 Nummer 4 des Mautsystemgesetzes ist erfüllt, wenn der Antragsteller innerhalb der letzten fünf Jahre vor Antragstellung mindestens ein Jahr Dienstleistungen im Bereich der elektronischen Mauterhebung oder in einem vergleichbaren bedeutsamen Bereich,</w:t>
      </w:r>
    </w:p>
    <w:p>
      <w:pPr>
        <w:ind w:left="420"/>
      </w:pPr>
      <w:r>
        <w:t xml:space="preserve">1. in dem eine große Anzahl an Transaktionen zu verarbeiten und</w:t>
      </w:r>
    </w:p>
    <w:p>
      <w:pPr>
        <w:ind w:left="420"/>
      </w:pPr>
      <w:r>
        <w:t xml:space="preserve">2. angemessene Sicherheitsmaßnahmen gegen Verlust der Vertraulichkeit, Integrität und Verfügbarkeit der Daten sowie gegen Verletzungen der gesetzlichen Datenschutzvorschriften vorgesehen sind,</w:t>
      </w:r>
    </w:p>
    <w:p>
      <w:r>
        <w:t xml:space="preserve">erbracht hat. Zu einem vergleichbaren bedeutsamen Bereich sind zu zählen insbesondere Tätigkeiten von Banken, Versicherungen, Telekommunikationsbetreibern, Versorgungsunternehmen und der Betrieb umfangreicher Informations- oder Telematiksysteme.</w:t>
      </w:r>
    </w:p>
    <w:p>
      <w:r>
        <w:t xml:space="preserve">(2) Ist ein Antragsteller weniger als zwei Jahre im Handelsregister eingetragen, kann die Voraussetzung des § 5 Nummer 4 des Mautsystemgesetzes auch erfüllt sein, wenn verbundene Unternehmen Dienstleistungen nach Absatz 1 erbracht haben. Das Gleiche gilt bei der Hinzuziehung externen Sachverstandes Dritter.</w:t>
      </w:r>
    </w:p>
    <w:p>
      <w:r>
        <w:t xml:space="preserve">(3) Der Antragsteller hat das Erfüllen der Voraussetzung des § 5 Nummer 4 des Mautsystemgesetzes durch mindestens eine Eigenerklärung nachzuweisen, aus der Inhalt und Zeitraum der ausgeübten Tätigkeit nach Absatz 1 hervorgehen. In den Fällen des Absatzes 2 ist in der Eigenerklärung auch darzulegen, in welcher Form und in welchen Bereichen die Erfahrung dem Antragsteller zur Verfügung gestellt wird.</w:t>
      </w:r>
    </w:p>
    <w:p>
      <w:r>
        <w:rPr>
          <w:color w:val="555555"/>
          <w:sz w:val="17"/>
        </w:rPr>
        <w:t xml:space="preserve">Zitiervorschlag: § 6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