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MRegV 2016 — Technische Ausrüstung und Konformität der Interoperabilitätskomponenten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13.10.2021 (konsolidierte Textfassung, kein amtliches Inkrafttretensdatum)</w:t>
      </w:r>
    </w:p>
    <w:p>
      <w:r>
        <w:t xml:space="preserve">(1) Der Antragsteller hat das Erfüllen der Voraussetzung des § 5 Nummer 3 des Mautsystemgesetzes nachzuweisen durch</w:t>
      </w:r>
    </w:p>
    <w:p>
      <w:pPr>
        <w:ind w:left="420"/>
      </w:pPr>
      <w:r>
        <w:t xml:space="preserve">1. eine Eigenerklärung, die besagt, dass er über die für die Erbringung mautdienstbezogener Leistungen geeignete technische Ausrüstung verfügt, und</w:t>
      </w:r>
    </w:p>
    <w:p>
      <w:pPr>
        <w:ind w:left="420"/>
      </w:pPr>
      <w:r>
        <w:t xml:space="preserve">2. für jede Interoperabilitätskomponente, die vom Antragsteller zur Erbringung der mautdienstbezogenen Leistungen eingesetzt werden soll, jeweils</w:t>
      </w:r>
    </w:p>
    <w:p>
      <w:pPr>
        <w:ind w:left="780"/>
      </w:pPr>
      <w:r>
        <w:t xml:space="preserve">a) die EG-Konformitätserklärung oder</w:t>
      </w:r>
    </w:p>
    <w:p>
      <w:pPr>
        <w:ind w:left="780"/>
      </w:pPr>
      <w:r>
        <w:t xml:space="preserve">b) das Zertifikat einer nach § 27 des Mautsystemgesetzes notifizierten Stelle zur Bescheinigung der Konformität der Interoperabilitätskomponenten nach Anhang III der Durchführungsverordnung (EU) 2020/204 der Kommission vom 28. November 2019 über detaillierte Pflichten der Anbieter des europäischen elektronischen Mautdienstes, den Mindestinhalt der Vorgabe für das EETS-Gebiet, elektronische Schnittstellen und Anforderungen an Interoperabilitätskomponenten sowie zur Aufhebung der Entscheidung 2009/750/EG (ABl. L 43 vom 17.2.2020, S. 49).</w:t>
      </w:r>
    </w:p>
    <w:p>
      <w:r>
        <w:t xml:space="preserve">(2) Die EG-Konformitätserklärung nach Absatz 1 Nummer 2 Buchstabe a ist vom Hersteller der Interoperabilitätskomponenten, dem Antragsteller oder einem Bevollmächtigten nach Maßgabe des Anhangs III der Durchführungsverordnung (EU) 2020/204 zu erstellen. Der Inhalt der EG-Konformitätserklärung muss die Vorgaben des Anhangs III Ziffer VI der Durchführungsverordnung (EU) 2020/204 erfüllen.</w:t>
      </w:r>
    </w:p>
    <w:p>
      <w:r>
        <w:t xml:space="preserve">(3) Die EG-Konformitätserklärungen müssen in derselben Sprache abgefasst sein wie die Betriebsanleitungen der jeweiligen Interoperabilitätskomponente. Sind die EG-Konformitätserklärungen nicht in deutscher Sprache abgefasst, ist eine amtlich beglaubigte Übersetzung vorzulegen.</w:t>
      </w:r>
    </w:p>
    <w:p>
      <w:r>
        <w:t xml:space="preserve">(4) EG-Konformitätserklärungen und EG-Zertifikate nach Absatz 1 Nummer 2 Buchstabe a und b müssen ab dem Zeitpunkt der Antragstellung noch mindestens 24 Monate gültig sein.</w:t>
      </w:r>
    </w:p>
    <w:p>
      <w:r>
        <w:rPr>
          <w:color w:val="555555"/>
          <w:sz w:val="17"/>
        </w:rPr>
        <w:t xml:space="preserve">Zitiervorschlag: § 5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