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MRegV 2016 — Sitz oder ständige Niederlassung</w:t>
      </w:r>
    </w:p>
    <w:p>
      <w:r>
        <w:rPr>
          <w:color w:val="555555"/>
          <w:sz w:val="18"/>
        </w:rPr>
        <w:t xml:space="preserve">Mautdienst-Registrierungs-Verordnung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Antragsteller hat das Erfüllen der Voraussetzung des § 5 Nummer 1 des Mautsystemgesetzes durch einen gültigen Auszug aus dem Handelsregister nachzuweisen. Der Auszug darf zum Zeitpunkt der Antragstellung nicht älter als drei Monate sein.</w:t>
      </w:r>
    </w:p>
    <w:p>
      <w:r>
        <w:rPr>
          <w:color w:val="555555"/>
          <w:sz w:val="17"/>
        </w:rPr>
        <w:t xml:space="preserve">Zitiervorschlag: § 3 MRegV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https://recht.nulegal.eu/gesetze/MRegV%202016/3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