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MRegV 2016 — Gebühren und Auslagen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Für die Registrierung nach den §§ 5 und 6 Absatz 1 des Mautsystemgesetzes sowie die regelmäßige Überprüfung der Registrierungsvoraussetzungen nach § 7 Absatz 2 Satz 1 des Mautsystemgesetzes werden vom Bundesamt für Logistik und Mobilität Gebühren und Auslagen erhoben.</w:t>
      </w:r>
    </w:p>
    <w:p>
      <w:r>
        <w:t xml:space="preserve">(2) Die gebührenpflichtigen Tatbestände und die Höhe der Gebühren bestimmen sich nach der Anlage.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11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