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MRegV 2016 — Anwendungsbereich</w:t>
      </w:r>
    </w:p>
    <w:p>
      <w:r>
        <w:rPr>
          <w:color w:val="555555"/>
          <w:sz w:val="18"/>
        </w:rPr>
        <w:t xml:space="preserve">Mautdienst-Registrierungs-Verordnung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die Anforderungen an den Nachweis der Voraussetzungen für die Registrierung von Anbietern mautdienstbezogener Leistungen nach § 5 des Mautsystemgesetzes,</w:t>
      </w:r>
    </w:p>
    <w:p>
      <w:pPr>
        <w:ind w:left="420"/>
      </w:pPr>
      <w:r>
        <w:t xml:space="preserve">2. die regelmäßige Überprüfung der Registrierungsvoraussetzungen nach § 7 Absatz 2 des Mautsystemgesetzes und</w:t>
      </w:r>
    </w:p>
    <w:p>
      <w:pPr>
        <w:ind w:left="420"/>
      </w:pPr>
      <w:r>
        <w:t xml:space="preserve">3. die Gebühren und Auslagen für individuell zurechenbare öffentliche Leistungen im Zusammenhang mit der Registrierung und der regelmäßigen Überprüfung der Voraussetzungen für die Registrierung nach § 8 des Mautsystemgesetzes.</w:t>
      </w:r>
    </w:p>
    <w:p>
      <w:r>
        <w:rPr>
          <w:color w:val="555555"/>
          <w:sz w:val="17"/>
        </w:rPr>
        <w:t xml:space="preserve">Zitiervorschlag: § 1 MRegV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https://recht.nulegal.eu/gesetze/MRegV%202016/1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