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MPorzMAusbV — Zwischenprüfung</w:t>
      </w:r>
    </w:p>
    <w:p>
      <w:r>
        <w:rPr>
          <w:color w:val="555555"/>
          <w:sz w:val="18"/>
        </w:rPr>
        <w:t xml:space="preserve">Verordnung über die Berufsausbildung zum Manufakturporzellanmaler/zur Manufakturporzellanmalerin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vor dem Ende des zweiten Ausbildungsjahres stattfinden.</w:t>
      </w:r>
    </w:p>
    <w:p>
      <w:r>
        <w:t xml:space="preserve">(2) Die Zwischenprüfung erstreckt sich auf die in der Anlage für das erste Ausbildungsjahr und die unter den laufenden Nummern 6 und 9 Buchstabe a und laufender Nummer 10 Buchstabe a für das zweite Ausbildungsjahr aufgeführten Fertigkeiten und Kenntnisse sowie auf den im Berufsschulunterricht entsprechend den Rahmenlehrplänen zu vermittelnden Lehrstoff, soweit er für die Berufsausbildung wesentlich ist.</w:t>
      </w:r>
    </w:p>
    <w:p>
      <w:r>
        <w:t xml:space="preserve">(3) Zum Nachweis der Fertigkeiten soll der Prüfling in insgesamt höchstens sieben Stunden ein Prüfungsstück anfertigen. Hierfür kommt insbesondere in Betracht:</w:t>
      </w:r>
    </w:p>
    <w:p>
      <w:pPr>
        <w:ind w:left="420"/>
      </w:pPr>
      <w:r>
        <w:t xml:space="preserve">a) ein Porzellanstück mit Blumen- oder Landschaftsmalerei oder eine Figur bemalen sowie mit Linien-, Ränder- oder Bänderdekor,</w:t>
      </w:r>
    </w:p>
    <w:p>
      <w:pPr>
        <w:ind w:left="420"/>
      </w:pPr>
      <w:r>
        <w:t xml:space="preserve">b) ein Porzellanstück mit Blumen- oder Landschaftsmalerei oder eine Figur bemalen sowie mit einer Schriftart.</w:t>
      </w:r>
    </w:p>
    <w:p>
      <w:r>
        <w:t xml:space="preserve">(4) Zum Nachweis der Kenntnisse soll der Prüfling in insgesamt höchstens 180 Minuten Aufgaben, die sich auf praxisbezogene Fälle beziehen sollen, aus folgenden Gebieten schriftlich lösen:</w:t>
      </w:r>
    </w:p>
    <w:p>
      <w:pPr>
        <w:ind w:left="420"/>
      </w:pPr>
      <w:r>
        <w:t xml:space="preserve">1. Grundsätze der Arbeitssicherheit und des Umweltschutzes in der Feinkeramik,</w:t>
      </w:r>
    </w:p>
    <w:p>
      <w:pPr>
        <w:ind w:left="420"/>
      </w:pPr>
      <w:r>
        <w:t xml:space="preserve">2. kulturhistorische Entwicklung der Keramik und Porzellanmalerei,</w:t>
      </w:r>
    </w:p>
    <w:p>
      <w:pPr>
        <w:ind w:left="420"/>
      </w:pPr>
      <w:r>
        <w:t xml:space="preserve">3. Grundlagen der Werkstoffe und der Porzellanherstellung,</w:t>
      </w:r>
    </w:p>
    <w:p>
      <w:pPr>
        <w:ind w:left="420"/>
      </w:pPr>
      <w:r>
        <w:t xml:space="preserve">4. Zeichen- und Maltechniken,</w:t>
      </w:r>
    </w:p>
    <w:p>
      <w:pPr>
        <w:ind w:left="420"/>
      </w:pPr>
      <w:r>
        <w:t xml:space="preserve">5. Farbenlehre,</w:t>
      </w:r>
    </w:p>
    <w:p>
      <w:pPr>
        <w:ind w:left="420"/>
      </w:pPr>
      <w:r>
        <w:t xml:space="preserve">6. Dekorationsmittel in der Porzellanmalerei,</w:t>
      </w:r>
    </w:p>
    <w:p>
      <w:pPr>
        <w:ind w:left="420"/>
      </w:pPr>
      <w:r>
        <w:t xml:space="preserve">7. Einsatz und Pflege von Werkzeugen und Arbeitsgeräten.</w:t>
      </w:r>
    </w:p>
    <w:p>
      <w:r>
        <w:t xml:space="preserve">(5) Die in Absatz 4 genannte Prüfungsdauer kann insbesondere unterschritten werden, soweit die schriftliche Prüfung in programmierter Form durchgeführt wird.</w:t>
      </w:r>
    </w:p>
    <w:p>
      <w:r>
        <w:rPr>
          <w:color w:val="555555"/>
          <w:sz w:val="17"/>
        </w:rPr>
        <w:t xml:space="preserve">Zitiervorschlag: § 7 MPorzMAusbV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https://recht.nulegal.eu/gesetze/MPorzMAusbV/7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