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MPhG</w:t>
      </w:r>
    </w:p>
    <w:p>
      <w:r>
        <w:rPr>
          <w:color w:val="555555"/>
          <w:sz w:val="18"/>
        </w:rPr>
        <w:t xml:space="preserve">Masseur- und Physiotherapeutengesetz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Bundestag hat mit Zustimmung des Bundesrates das folgende Gesetz beschlossen:</w:t>
      </w:r>
    </w:p>
    <w:p>
      <w:r>
        <w:rPr>
          <w:color w:val="555555"/>
          <w:sz w:val="17"/>
        </w:rPr>
        <w:t xml:space="preserve">Zitiervorschlag: Eingangsformel MPhG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https://recht.nulegal.eu/gesetze/MPhG/eingangsformel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