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Voraussetzung für den Zugang zur Ausbildung nach § 4 ist</w:t>
      </w:r>
    </w:p>
    <w:p>
      <w:pPr>
        <w:ind w:left="420"/>
      </w:pPr>
      <w:r>
        <w:t xml:space="preserve">1. die gesundheitliche Eignung zur Ausübung des Berufs und</w:t>
      </w:r>
    </w:p>
    <w:p>
      <w:pPr>
        <w:ind w:left="420"/>
      </w:pPr>
      <w:r>
        <w:t xml:space="preserve">2. der Hauptschulabschluß oder eine gleichwertige Schulbildung oder eine abgeschlossene Berufsausbildung von mindestens einjähriger Dauer.</w:t>
      </w:r>
    </w:p>
    <w:p>
      <w:r>
        <w:rPr>
          <w:color w:val="555555"/>
          <w:sz w:val="17"/>
        </w:rPr>
        <w:t xml:space="preserve">Zitiervorschlag: § 5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