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besteht aus einem Lehrgang, der theoretischen und praktischen Unterricht und eine praktische Ausbildung umfaßt, sowie aus einer praktischen Tätigkeit.</w:t>
      </w:r>
    </w:p>
    <w:p>
      <w:r>
        <w:t xml:space="preserve">(2) Der Lehrgang wird in staatlich anerkannten Schulen durchgeführt. Er dauert zwei Jahre und schließt mit der staatlichen Prüfung ab.</w:t>
      </w:r>
    </w:p>
    <w:p>
      <w:r>
        <w:t xml:space="preserve">(3) Die praktische Tätigkeit dauert sechs Monate und richtet sich nach § 7.</w:t>
      </w:r>
    </w:p>
    <w:p>
      <w:r>
        <w:rPr>
          <w:color w:val="555555"/>
          <w:sz w:val="17"/>
        </w:rPr>
        <w:t xml:space="preserve">Zitiervorschlag: § 4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