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MPhG</w:t>
      </w:r>
    </w:p>
    <w:p>
      <w:r>
        <w:rPr>
          <w:color w:val="555555"/>
          <w:sz w:val="18"/>
        </w:rPr>
        <w:t xml:space="preserve">Masseur- und Physiotherapeutengesetz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ohne Erlaubnis nach § 1 die Berufsbezeichnung</w:t>
      </w:r>
    </w:p>
    <w:p>
      <w:pPr>
        <w:ind w:left="780"/>
      </w:pPr>
      <w:r>
        <w:t xml:space="preserve">a) "Masseurin und medizinische Bademeisterin" oder "Masseur und medizinischer Bademeister" oder</w:t>
      </w:r>
    </w:p>
    <w:p>
      <w:pPr>
        <w:ind w:left="780"/>
      </w:pPr>
      <w:r>
        <w:t xml:space="preserve">b) "Physiotherapeutin" oder "Physiotherapeut" oder</w:t>
      </w:r>
    </w:p>
    <w:p>
      <w:pPr>
        <w:ind w:left="420"/>
      </w:pPr>
      <w:r>
        <w:t xml:space="preserve">2. entgegen § 16 Abs. 3 Satz 3 die Berufsbezeichnung "Masseurin" oder "Masseur" oder entgegen § 16 Abs. 4 Satz 2 die Berufsbezeichnung "Krankengymnastin" oder "Krankengymnast"</w:t>
      </w:r>
    </w:p>
    <w:p>
      <w:r>
        <w:t xml:space="preserve">führt.</w:t>
      </w:r>
    </w:p>
    <w:p>
      <w:r>
        <w:t xml:space="preserve">(2) Die Ordnungswidrigkeit kann mit einer Geldbuße bis zu zweitausendfünfhundert Euro geahndet werden.</w:t>
      </w:r>
    </w:p>
    <w:p>
      <w:r>
        <w:rPr>
          <w:color w:val="555555"/>
          <w:sz w:val="17"/>
        </w:rPr>
        <w:t xml:space="preserve">Zitiervorschlag: § 15 MPhG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https://recht.nulegal.eu/gesetze/MPhG/15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