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Dauer einer Ausbildung nach § 9 werden angerechnet</w:t>
      </w:r>
    </w:p>
    <w:p>
      <w:pPr>
        <w:ind w:left="420"/>
      </w:pPr>
      <w:r>
        <w:t xml:space="preserve">1. Ferien,</w:t>
      </w:r>
    </w:p>
    <w:p>
      <w:pPr>
        <w:ind w:left="420"/>
      </w:pPr>
      <w:r>
        <w:t xml:space="preserve">2. Unterbrechungen durch Schwangerschaft, Krankheit oder aus anderen, von der Schülerin oder vom Schüler nicht zu vertretenden Gründen bis zur Gesamtdauer von zwölf Wochen, bei verkürzter Ausbildung nach § 12 bis zu höchstens vier Wochen je Ausbildungsjahr.</w:t>
      </w:r>
    </w:p>
    <w:p>
      <w:r>
        <w:t xml:space="preserve">§ 6 Abs. 1 Satz 2 gilt entsprechend.</w:t>
      </w:r>
    </w:p>
    <w:p>
      <w:r>
        <w:rPr>
          <w:color w:val="555555"/>
          <w:sz w:val="17"/>
        </w:rPr>
        <w:t xml:space="preserve">Zitiervorschlag: § 11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