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MPhG</w:t>
      </w:r>
    </w:p>
    <w:p>
      <w:r>
        <w:rPr>
          <w:color w:val="555555"/>
          <w:sz w:val="18"/>
        </w:rPr>
        <w:t xml:space="preserve">Masseur- und Physiotherapeutengesetz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Voraussetzung für den Zugang zur Ausbildung nach § 9 ist</w:t>
      </w:r>
    </w:p>
    <w:p>
      <w:pPr>
        <w:ind w:left="420"/>
      </w:pPr>
      <w:r>
        <w:t xml:space="preserve">1. die gesundheitliche Eignung zur Ausübung des Berufs und</w:t>
      </w:r>
    </w:p>
    <w:p>
      <w:pPr>
        <w:ind w:left="420"/>
      </w:pPr>
      <w:r>
        <w:t xml:space="preserve">2. der Realschulabschluß oder eine gleichwertige Ausbildung oder eine andere abgeschlossene zehnjährige Schulbildung, die den Hauptschulabschluß erweitert, oder eine nach Hauptschulabschluß oder einem gleichwertigen Abschluß abgeschlossene Berufsausbildung von mindestens zweijähriger Dauer.</w:t>
      </w:r>
    </w:p>
    <w:p>
      <w:r>
        <w:rPr>
          <w:color w:val="555555"/>
          <w:sz w:val="17"/>
        </w:rPr>
        <w:t xml:space="preserve">Zitiervorschlag: § 10 MPhG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https://recht.nulegal.eu/gesetze/MPhG/10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