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MPVerfVO — Nichtöffentlichkeit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Historische Fassung: Stand 10.06.2019 bis 02.02.2022. Dies ist nicht die aktuelle Fassung.</w:t>
      </w:r>
    </w:p>
    <w:p>
      <w:r>
        <w:t xml:space="preserve">(1) Die Meisterprüfung ist nicht öffentlich.</w:t>
      </w:r>
    </w:p>
    <w:p>
      <w:r>
        <w:t xml:space="preserve">(2) Vertreter der obersten Landesbehörde, der höheren Verwaltungsbehörde und der Handwerkskammer sind berechtigt, bei der Prüfung anwesend zu sein.</w:t>
      </w:r>
    </w:p>
    <w:p>
      <w:r>
        <w:t xml:space="preserve">(3) Der Vorsitzende kann nach Anhörung der übrigen Mitglieder des Meisterprüfungsausschusses in begründeten Fällen Gäste zulassen.</w:t>
      </w:r>
    </w:p>
    <w:p>
      <w:r>
        <w:rPr>
          <w:color w:val="555555"/>
          <w:sz w:val="17"/>
        </w:rPr>
        <w:t xml:space="preserve">Zitiervorschlag: § 6 MPVerfVO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https://recht.nulegal.eu/gesetze/MPVerfVO/6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