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MPVerfVO — Beschlussfassung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(1) Der Meisterprüfungsausschuss ist beschlussfähig, wenn mehr als die Hälfte der Mitglieder anwesend sind. Er beschließt mit der Mehrheit der abgegebenen Stimmen. Bei Stimmengleichheit entscheidet der Vorsitzende.</w:t>
      </w:r>
    </w:p>
    <w:p>
      <w:r>
        <w:t xml:space="preserve">(2) Alle Mitglieder des Meisterprüfungsausschusses wirken mit bei Entscheidungen über</w:t>
      </w:r>
    </w:p>
    <w:p>
      <w:pPr>
        <w:ind w:left="420"/>
      </w:pPr>
      <w:r>
        <w:t xml:space="preserve">1. die Zulassung, soweit darüber nicht der Vorsitzende entscheidet,</w:t>
      </w:r>
    </w:p>
    <w:p>
      <w:pPr>
        <w:ind w:left="420"/>
      </w:pPr>
      <w:r>
        <w:t xml:space="preserve">2. den Ausschluss des Prüflings von der Prüfung,</w:t>
      </w:r>
    </w:p>
    <w:p>
      <w:pPr>
        <w:ind w:left="420"/>
      </w:pPr>
      <w:r>
        <w:t xml:space="preserve">3. die Feststellung der Noten für die Teile der Meisterprüfung,</w:t>
      </w:r>
    </w:p>
    <w:p>
      <w:pPr>
        <w:ind w:left="420"/>
      </w:pPr>
      <w:r>
        <w:t xml:space="preserve">4. das Bestehen oder Nichtbestehen der Teile der Meisterprüfung und der Meisterprüfung insgesamt.</w:t>
      </w:r>
    </w:p>
    <w:p>
      <w:r>
        <w:t xml:space="preserve">Soweit nach dieser Verordnung Entscheidungen von allen Mitgliedern des Meisterprüfungsausschusses zu treffen sind, werden diese mit der Mehrheit der abgegebenen Stimmen gefasst. Stimmenthaltungen sind nicht zulässig.</w:t>
      </w:r>
    </w:p>
    <w:p>
      <w:r>
        <w:t xml:space="preserve">(3) Zur Beschleunigung können Entscheidungen im schriftlichen oder elektronischen Umlaufverfahren herbeigeführt werden, falls alle Mitglieder zustimmen. Hiervon ausgenommen sind Entscheidungen nach § 21 Absatz 1.</w:t>
      </w:r>
    </w:p>
    <w:p>
      <w:r>
        <w:rPr>
          <w:color w:val="555555"/>
          <w:sz w:val="17"/>
        </w:rPr>
        <w:t xml:space="preserve">Zitiervorschlag: § 3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