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MPVerfVO — Übergangsvorschrift</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Die bis zum 31. Dezember 2011 begonnenen Prüfungsverfahren werden nach den bis dahin geltenden Vorschriften zu Ende geführt. Erfolgt die Anmeldung zur Prüfung bis zum Ablauf des 30. Juni 2012 sind auf Verlangen des Prüflings die bis zum 31. Dezember 2011 geltenden Vorschriften weiter anzuwenden.</w:t>
      </w:r>
    </w:p>
    <w:p>
      <w:r>
        <w:t xml:space="preserve">(2) Prüflinge, die die Prüfung nach den bis zum 31. Dezember 2011 geltenden Vorschriften nicht bestanden haben und sich bis zum 31. Dezember 2013 zu einer Wiederholungsprüfung anmelden, können auf Verlangen die Wiederholungsprüfung nach den bis zum 31. Dezember 2011 geltenden Vorschriften ablegen.</w:t>
      </w:r>
    </w:p>
    <w:p>
      <w:r>
        <w:t xml:space="preserve">(3) Bei Meisterprüfungsverordnungen, die vor dem 1. April 1998 erlassen worden sind, gelten die Meisterprüfungsarbeit und die Arbeitsprobe als Prüfungsbereiche im Sinne dieser Verordnung.</w:t>
      </w:r>
    </w:p>
    <w:p>
      <w:r>
        <w:rPr>
          <w:color w:val="555555"/>
          <w:sz w:val="17"/>
        </w:rPr>
        <w:t xml:space="preserve">Zitiervorschlag: § 25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