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MPVerfVO — Bewertungsschlüssel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(1) Für die Bewertung der Prüfungsleistungen in den Prüfungsbereichen, in den Prüfungsfächern, in den Handlungsfeldern, in der praktischen Prüfung im Teil IV und bei Ergänzungsprüfungen ist der nachstehende 100-Punkte-Schlüssel anzuwenden:</w:t>
      </w:r>
    </w:p>
    <w:p>
      <w:r>
        <w:rPr>
          <w:rFonts w:ascii="Courier New" w:hAnsi="Courier New"/>
          <w:sz w:val="17"/>
        </w:rPr>
        <w:t xml:space="preserve">100 – 92    Punkte für eine den Anforderungen in besonderem Maße entsprechende Leistung,</w:t>
      </w:r>
    </w:p>
    <w:p>
      <w:r>
        <w:rPr>
          <w:rFonts w:ascii="Courier New" w:hAnsi="Courier New"/>
          <w:sz w:val="17"/>
        </w:rPr>
        <w:t xml:space="preserve">unter 92 – 81    Punkte für eine den Anforderungen voll entsprechende Leistung,</w:t>
      </w:r>
    </w:p>
    <w:p>
      <w:r>
        <w:rPr>
          <w:rFonts w:ascii="Courier New" w:hAnsi="Courier New"/>
          <w:sz w:val="17"/>
        </w:rPr>
        <w:t xml:space="preserve">unter 81 – 67    Punkte für eine den Anforderungen im Allgemeinen entsprechende Leistung,</w:t>
      </w:r>
    </w:p>
    <w:p>
      <w:r>
        <w:rPr>
          <w:rFonts w:ascii="Courier New" w:hAnsi="Courier New"/>
          <w:sz w:val="17"/>
        </w:rPr>
        <w:t xml:space="preserve">unter 67 – 50    Punkte für eine Leistung, die zwar Mängel aufweist, aber im Ganzen den Anforderungen noch entspricht,</w:t>
      </w:r>
    </w:p>
    <w:p>
      <w:r>
        <w:rPr>
          <w:rFonts w:ascii="Courier New" w:hAnsi="Courier New"/>
          <w:sz w:val="17"/>
        </w:rPr>
        <w:t xml:space="preserve">unter 50 – 30    Punkte für eine Leistung, die den Anforderungen nicht entspricht, jedoch erkennen lässt, dass gewisse Grundkenntnisse noch vorhanden sind,</w:t>
      </w:r>
    </w:p>
    <w:p>
      <w:r>
        <w:rPr>
          <w:rFonts w:ascii="Courier New" w:hAnsi="Courier New"/>
          <w:sz w:val="17"/>
        </w:rPr>
        <w:t xml:space="preserve">unter 30 – 0    Punkte für eine Leistung, die den Anforderungen nicht entspricht und bei der selbst Grundkenntnisse sehr lückenhaft sind oder fehlen.</w:t>
      </w:r>
    </w:p>
    <w:p>
      <w:r>
        <w:t xml:space="preserve">(2) Der 100-Punkte-Schlüssel ist auch auf Prüfungsleistungen anzuwenden, die innerhalb von Prüfungsbereichen, Prüfungsfächern und Handlungsfeldern zu erbringen und ihrer Natur nach für sich genommen zu bewerten sind.</w:t>
      </w:r>
    </w:p>
    <w:p>
      <w:r>
        <w:t xml:space="preserve">(3) Die Note für jeden Teil der Meisterprüfung wird auf der Grundlage des gewichteten rechnerischen Durchschnitts der erzielten Punkte festgesetzt. Dabei bedeuten:</w:t>
      </w:r>
    </w:p>
    <w:p>
      <w:r>
        <w:rPr>
          <w:rFonts w:ascii="Courier New" w:hAnsi="Courier New"/>
          <w:sz w:val="17"/>
        </w:rPr>
        <w:t xml:space="preserve">100 – 92    Punkte die Note: sehr gut,</w:t>
      </w:r>
    </w:p>
    <w:p>
      <w:r>
        <w:rPr>
          <w:rFonts w:ascii="Courier New" w:hAnsi="Courier New"/>
          <w:sz w:val="17"/>
        </w:rPr>
        <w:t xml:space="preserve">unter 92 – 81    Punkte die Note: gut,</w:t>
      </w:r>
    </w:p>
    <w:p>
      <w:r>
        <w:rPr>
          <w:rFonts w:ascii="Courier New" w:hAnsi="Courier New"/>
          <w:sz w:val="17"/>
        </w:rPr>
        <w:t xml:space="preserve">unter 81 – 67    Punkte die Note: befriedigend,</w:t>
      </w:r>
    </w:p>
    <w:p>
      <w:r>
        <w:rPr>
          <w:rFonts w:ascii="Courier New" w:hAnsi="Courier New"/>
          <w:sz w:val="17"/>
        </w:rPr>
        <w:t xml:space="preserve">unter 67 – 50    Punkte die Note: ausreichend,</w:t>
      </w:r>
    </w:p>
    <w:p>
      <w:r>
        <w:rPr>
          <w:rFonts w:ascii="Courier New" w:hAnsi="Courier New"/>
          <w:sz w:val="17"/>
        </w:rPr>
        <w:t xml:space="preserve">unter 50 – 30    Punkte die Note: mangelhaft,</w:t>
      </w:r>
    </w:p>
    <w:p>
      <w:r>
        <w:rPr>
          <w:rFonts w:ascii="Courier New" w:hAnsi="Courier New"/>
          <w:sz w:val="17"/>
        </w:rPr>
        <w:t xml:space="preserve">unter 30 – 0    Punkte die Note: ungenügend.</w:t>
      </w:r>
    </w:p>
    <w:p>
      <w:r>
        <w:rPr>
          <w:color w:val="555555"/>
          <w:sz w:val="17"/>
        </w:rPr>
        <w:t xml:space="preserve">Zitiervorschlag: § 20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