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MPVerfVO — Durchführung schriftlicher Prüfungen, Bewertung</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Für die Durchführung schriftlicher Prüfungen in den Teilen II, III und IV der Meisterprüfung kann der Vorsitzende eine Person mit der Aufsicht während der Prüfung beauftragen, die nicht Mitglied des Meisterprüfungsausschusses sein muss.</w:t>
      </w:r>
    </w:p>
    <w:p>
      <w:r>
        <w:t xml:space="preserve">(2) Der Vorsitzende hat mindestens zwei Mitglieder mit der Bewertung der schriftlichen Prüfungsleistungen in den Teilen II, III und IV der Meisterprüfung zu beauftragen. Zwei der Mitglieder, die mit der Bewertung der schriftlichen Prüfungsleistungen im Teil II beauftragt sind, müssen in dem Handwerk oder in dem handwerksähnlichen Gewerbe, für das der Meisterprüfungsausschuss errichtet ist, die Meisterprüfung abgelegt haben oder das Recht zum Ausbilden von Lehrlingen besitzen. Von den Mitgliedern, die mit der Bewertung der schriftlichen Prüfungsleistungen in den Teilen III und IV der Meisterprüfung beauftragt sind, muss eines die Voraussetzungen des § 48 Absatz 5 oder des § 51b Absatz 6 der Handwerksordnung erfüllen.</w:t>
      </w:r>
    </w:p>
    <w:p>
      <w:r>
        <w:t xml:space="preserve">(3) Die Aufsicht führende Person dokumentiert die Prüfung in ihren wesentlichen Abläufen. Zur Vorbereitung der Beschlussfassung nach § 21 Absatz 1 bewerten die in Absatz 2 genannten Mitglieder des Meisterprüfungsausschusses die Prüfungsleistungen und halten dabei die für die Bewertung erheblichen Tatsachen fest.</w:t>
      </w:r>
    </w:p>
    <w:p>
      <w:r>
        <w:rPr>
          <w:color w:val="555555"/>
          <w:sz w:val="17"/>
        </w:rPr>
        <w:t xml:space="preserve">Zitiervorschlag: § 19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