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MPVerfV — Nichtöffentlichkeit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Die Meisterprüfung ist nicht öffentlich.</w:t>
      </w:r>
    </w:p>
    <w:p>
      <w:r>
        <w:t xml:space="preserve">(2) Vertreter der obersten Landesbehörde, der höheren Verwaltungsbehörde und der Handwerkskammer sowie der Vorsitzende des Meisterprüfungsausschusses sind berechtigt, bei der Abnahme von Prüfungsleistungen anwesend zu sein.</w:t>
      </w:r>
    </w:p>
    <w:p>
      <w:r>
        <w:t xml:space="preserve">(3) Der Vorsitzende des Meisterprüfungsausschusses kann nach Anhörung der jeweils befassten Prüfungskommission in begründeten Fällen zulassen, dass andere als die in Absatz 2 genannten Gäste bei der Abnahme von Prüfungsleistungen anwesend sind.</w:t>
      </w:r>
    </w:p>
    <w:p>
      <w:r>
        <w:rPr>
          <w:color w:val="555555"/>
          <w:sz w:val="17"/>
        </w:rPr>
        <w:t xml:space="preserve">Zitiervorschlag: § 6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