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MPV 2002 — Gelenkersatz für Hüfte, Knie und Schulter</w:t>
      </w:r>
    </w:p>
    <w:p>
      <w:r>
        <w:rPr>
          <w:color w:val="555555"/>
          <w:sz w:val="18"/>
        </w:rPr>
        <w:t xml:space="preserve">Medizinprodukte-Verordnung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(1) § 13 Abs. 1 Satz 2 des Medizinproduktegesetzes in Verbindung mit Anhang IX der Richtlinie 93/42/EWG des Rates vom 14. Juni 1993 über Medizinprodukte (ABl. EG Nr. L 169 S. 1), zuletzt geändert durch die Verordnung (EG) Nr. 1882/2003 des Europäischen Parlaments und des Rates vom 29. September 2003 (ABl. EU Nr. L 284 S. 1), in der jeweils geltenden Fassung, findet auf Gelenkersatzteile für Hüfte, Knie und Schulter keine Anwendung. Gelenkersatzteile für Hüfte, Knie und Schulter werden der Klasse III zugeordnet.</w:t>
      </w:r>
    </w:p>
    <w:p>
      <w:r>
        <w:t xml:space="preserve">(2) Ein Gelenkersatzteil für Hüfte, Knie und Schulter ist eine implantierbare Gesamtheit von Teilen, die dazu bestimmt sind, zusammen die Funktion des natürlichen Hüft-, Knie- oder Schultergelenks möglichst vollständig zu erfüllen. Dazu gehören nicht Zubehörteile.</w:t>
      </w:r>
    </w:p>
    <w:p>
      <w:r>
        <w:rPr>
          <w:color w:val="555555"/>
          <w:sz w:val="17"/>
        </w:rPr>
        <w:t xml:space="preserve">Zitiervorschlag: § 9 MPV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https://recht.nulegal.eu/gesetze/MPV%202002/9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