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MPV 2002 — Konformitätsbewertungsverfahren für die sonstigen Medizinprodukte</w:t>
      </w:r>
    </w:p>
    <w:p>
      <w:r>
        <w:rPr>
          <w:color w:val="555555"/>
          <w:sz w:val="18"/>
        </w:rPr>
        <w:t xml:space="preserve">Medizinprodukte-Verordnung</w:t>
      </w:r>
    </w:p>
    <w:p>
      <w:r>
        <w:rPr>
          <w:color w:val="555555"/>
          <w:sz w:val="18"/>
        </w:rPr>
        <w:t xml:space="preserve">Historische Fassung: Stand 10.06.2019 bis 26.05.2021. Dies ist nicht die aktuelle Fassung.</w:t>
      </w:r>
    </w:p>
    <w:p>
      <w:r>
        <w:t xml:space="preserve">(1) Für Medizinprodukte der Klasse III, mit Ausnahme der Produkte nach Absatz 5 und 9, hat der Hersteller</w:t>
      </w:r>
    </w:p>
    <w:p>
      <w:pPr>
        <w:ind w:left="420"/>
      </w:pPr>
      <w:r>
        <w:t xml:space="preserve">1. das Verfahren der EG-Konformitätserklärung (vollständiges Qualitätssicherungssystem) nach Anhang II der Richtlinie 93/42/EWG oder</w:t>
      </w:r>
    </w:p>
    <w:p>
      <w:pPr>
        <w:ind w:left="420"/>
      </w:pPr>
      <w:r>
        <w:t xml:space="preserve">2. das Verfahren der EG-Baumusterprüfung nach Anhang III der Richtlinie 93/42/EWG in Verbindung mit dem Verfahren der EG-Prüfung nach Anhang IV der Richtlinie 93/42/EWG oder dem Verfahren der EG-Konformitätserklärung (Qualitätssicherung Produktion) nach Anhang V der Richtlinie 93/42/EWG</w:t>
      </w:r>
    </w:p>
    <w:p>
      <w:r>
        <w:t xml:space="preserve">durchzuführen.</w:t>
      </w:r>
    </w:p>
    <w:p>
      <w:r>
        <w:t xml:space="preserve">(2) Für Medizinprodukte der Klasse IIb, mit Ausnahme der Produkte nach Absatz 5 und 9, hat der Hersteller</w:t>
      </w:r>
    </w:p>
    <w:p>
      <w:pPr>
        <w:ind w:left="420"/>
      </w:pPr>
      <w:r>
        <w:t xml:space="preserve">1. das Verfahren der EG-Konformitätserklärung (vollständiges Qualitätssicherungssystem) nach Anhang II der Richtlinie 93/42/EWG mit Ausnahme der Nummer 4 oder</w:t>
      </w:r>
    </w:p>
    <w:p>
      <w:pPr>
        <w:ind w:left="420"/>
      </w:pPr>
      <w:r>
        <w:t xml:space="preserve">2. das Verfahren der EG-Baumusterprüfung nach Anhang III der Richtlinie 93/42/EWG in Verbindung mit dem Verfahren der EG-Prüfung nach Anhang IV oder dem Verfahren der EG-Konformitätserklärung (Qualitätssicherung Produktion) nach Anhang V oder dem Verfahren der EG-Konformitätserklärung (Qualitätssicherung Produkt) nach Anhang VI der Richtlinie 93/42/EWG</w:t>
      </w:r>
    </w:p>
    <w:p>
      <w:r>
        <w:t xml:space="preserve">durchzuführen.</w:t>
      </w:r>
    </w:p>
    <w:p>
      <w:r>
        <w:t xml:space="preserve">(3) Für Medizinprodukte der Klasse IIa, mit Ausnahme der Produkte nach Absatz 5 und 9, hat der Hersteller</w:t>
      </w:r>
    </w:p>
    <w:p>
      <w:pPr>
        <w:ind w:left="420"/>
      </w:pPr>
      <w:r>
        <w:t xml:space="preserve">1. das Verfahren der EG-Konformitätserklärung nach Anhang VII der Richtlinie 93/42/EWG in Verbindung mit dem Verfahren der EG-Prüfung nach Anhang IV oder dem Verfahren der EG-Konformitätserklärung (Qualitätssicherung Produktion) nach Anhang V oder dem Verfahren der EG-Konformitätserklärung (Qualitätssicherung Produkt) nach Anhang VI der Richtlinie 93/42/EWG oder</w:t>
      </w:r>
    </w:p>
    <w:p>
      <w:pPr>
        <w:ind w:left="420"/>
      </w:pPr>
      <w:r>
        <w:t xml:space="preserve">2. das Verfahren nach Absatz 2 Nr. 1</w:t>
      </w:r>
    </w:p>
    <w:p>
      <w:r>
        <w:t xml:space="preserve">durchzuführen.</w:t>
      </w:r>
    </w:p>
    <w:p>
      <w:r>
        <w:t xml:space="preserve">(4) Für Medizinprodukte der Klasse I, mit Ausnahme der Produkte nach Absatz 5 und 9, hat der Hersteller das Verfahren nach Anhang VII der Richtlinie 93/42/EWG durchzuführen.</w:t>
      </w:r>
    </w:p>
    <w:p>
      <w:r>
        <w:t xml:space="preserve">(5) Für Sonderanfertigungen hat der Hersteller die Erklärung nach Nummer 2.1 des Anhangs VIII der Richtlinie 93/42/EWG auszustellen und Sonderanfertigungen der Klassen IIa, IIb und III bei der Abgabe eine Kopie beizufügen, die für den durch seinen Namen, ein Akronym oder einen numerischen Code identifizierbaren Patienten verfügbar sein muss. Er hat die Dokumentation nach Nummer 3.1 des Anhangs VIII der Richtlinie 93/42/EWG zu erstellen und alle erforderlichen Maßnahmen zu treffen, um die Übereinstimmung der hergestellten Medizinprodukte mit dieser Dokumentation zu gewährleisten. Erklärung und Dokumentation sind mindestens fünf Jahre und im Falle von implantierbaren Produkten mindestens 15 Jahre aufzubewahren. Der Hersteller sichert zu, unter Berücksichtigung der in Anhang X der Richtlinie 93/42/EWG enthaltenen Bestimmungen die Erfahrungen mit Produkten in der der Herstellung nachgelagerten Phase auszuwerten und zu dokumentieren und angemessene Vorkehrungen zu treffen, um erforderliche Korrekturen durchzuführen. § 4 Absatz 2 Satz 7 gilt entsprechend.</w:t>
      </w:r>
    </w:p>
    <w:p>
      <w:r>
        <w:t xml:space="preserve">(6) Für Systeme und Behandlungseinheiten nach § 10 Abs. 1 des Medizinproduktegesetzes hat der Hersteller die Erklärung nach Artikel 12 Abs. 2 Satz 1 der Richtlinie 93/42/EWG auszustellen. Die Erklärung ist mindestens fünf Jahre und im Falle von implantierbaren Produkten mindestens 15 Jahre aufzubewahren. Für Systeme und Behandlungseinheiten nach § 10 Abs. 2 des Medizinproduktegesetzes gelten die Vorschriften der Absätze 1 bis 4 entsprechend.</w:t>
      </w:r>
    </w:p>
    <w:p>
      <w:r>
        <w:t xml:space="preserve">(7) Wer Medizinprodukte nach § 10 Abs. 3 Satz 1 des Medizinproduktegesetzes sterilisiert, hat im Hinblick auf die Sterilisation ein Verfahren nach Anhang II oder V der Richtlinie 93/42/EWG durchzuführen und eine Erklärung auszustellen, dass die Sterilisation gemäß den Anweisungen des Herstellers erfolgt ist. Die Erklärung ist mindestens fünf Jahre aufzubewahren.</w:t>
      </w:r>
    </w:p>
    <w:p>
      <w:r>
        <w:t xml:space="preserve">(8) Wer Medizinprodukte nach § 10 Absatz 3 Satz 2 des Medizinproduktegesetzes aufbereitet, hat im Hinblick auf die Sterilisation und die Aufrechterhaltung der Funktionsfähigkeit der Produkte ein Verfahren entsprechend Anhang II oder V der Richtlinie 93/42/EWG durchzuführen und eine Erklärung auszustellen, die die Aufbereitung nach einem geeigneten validierten Verfahren bestätigt. Die Erklärung ist mindestens fünf Jahre und im Falle von implantierbaren Produkten mindestens 15 Jahre aufzubewahren.</w:t>
      </w:r>
    </w:p>
    <w:p>
      <w:r>
        <w:t xml:space="preserve">(9) Für Medizinprodukte aus Eigenherstellung hat der Eigenhersteller vor der Inbetriebnahme eine Erklärung auszustellen, die folgende Angaben enthält:</w:t>
      </w:r>
    </w:p>
    <w:p>
      <w:pPr>
        <w:ind w:left="420"/>
      </w:pPr>
      <w:r>
        <w:t xml:space="preserve">1. Name und Anschrift des Eigenherstellers,</w:t>
      </w:r>
    </w:p>
    <w:p>
      <w:pPr>
        <w:ind w:left="420"/>
      </w:pPr>
      <w:r>
        <w:t xml:space="preserve">2. die zur Identifizierung des jeweiligen Produktes notwendigen Daten,</w:t>
      </w:r>
    </w:p>
    <w:p>
      <w:pPr>
        <w:ind w:left="420"/>
      </w:pPr>
      <w:r>
        <w:t xml:space="preserve">3. die Versicherung, dass das Produkt den in Anhang I der Richtlinie 93/42/EWG aufgeführten Grundlegenden Anforderungen entspricht, und gegebenenfalls die Angabe der Grundlegenden Anforderungen, die nicht vollständig eingehalten worden sind, mit Angabe der Gründe.</w:t>
      </w:r>
    </w:p>
    <w:p>
      <w:r>
        <w:t xml:space="preserve">Er hat eine Dokumentation zu erstellen, aus der die Fertigungsstätte sowie Auslegung, Herstellung und Leistungsdaten des Produktes, einschließlich der vorgesehenen Leistung, hervorgehen, so dass sich beurteilen lässt, ob es den Grundlegenden Anforderungen der Richtlinie 93/42/EWG entspricht, und alle erforderlichen Maßnahmen zu treffen, um die Übereinstimmung der hergestellten Medizinprodukte mit dieser Dokumentation zu gewährleisten. Erklärung und Dokumentation sind mindestens fünf Jahre und im Falle von implantierbaren Produkten mindestens 15 Jahre aufzubewahren. Der Eigenhersteller sichert zu, unter Berücksichtigung der in Anhang X der Richtlinie 93/42/EWG enthaltenen Bestimmungen die Erfahrungen mit Produkten in der der Herstellung nachgelagerten Phase auszuwerten und zu dokumentieren und angemessene Vorkehrungen zu treffen, um erforderliche Korrekturen durchzuführen. § 4 Absatz 2 Satz 7 gilt entsprechend.</w:t>
      </w:r>
    </w:p>
    <w:p>
      <w:r>
        <w:t xml:space="preserve">(10) Für unter Verwendung von Gewebe tierischen Ursprungs hergestellte Medizinprodukte gelten die besonderen Anforderungen der Verordnung (EU) Nr. 722/2012.</w:t>
      </w:r>
    </w:p>
    <w:p>
      <w:r>
        <w:rPr>
          <w:color w:val="555555"/>
          <w:sz w:val="17"/>
        </w:rPr>
        <w:t xml:space="preserve">Zitiervorschlag: § 7 MPV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https://recht.nulegal.eu/gesetze/MPV%202002/7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