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MPV 2002 — Allgemeine Vorschriften zur Durchführung der Konformitätsbewertung</w:t>
      </w:r>
    </w:p>
    <w:p>
      <w:r>
        <w:rPr>
          <w:color w:val="555555"/>
          <w:sz w:val="18"/>
        </w:rPr>
        <w:t xml:space="preserve">Medizinprodukte-Verordnung</w:t>
      </w:r>
    </w:p>
    <w:p>
      <w:r>
        <w:rPr>
          <w:color w:val="555555"/>
          <w:sz w:val="18"/>
        </w:rPr>
        <w:t xml:space="preserve">Historische Fassung: Stand 10.06.2019 bis 26.05.2021. Dies ist nicht die aktuelle Fassung.</w:t>
      </w:r>
    </w:p>
    <w:p>
      <w:r>
        <w:t xml:space="preserve">(1) Die Konformitätsbewertung erfolgt nach Maßgabe des Absatzes 2 und der §§ 4 bis 7 durch den Hersteller. Die Verfahren nach den Anhängen 3, 4 und 6 der Richtlinie 90/385/EWG des Rates vom 20. Juni 1990 zur Angleichung der Rechtsvorschriften der Mitgliedstaaten über aktive implantierbare medizinische Geräte (ABl. EG Nr. L 189 S. 17), die zuletzt durch Artikel 1 der Richtlinie 2007/47/EG (ABl. L 247 vom 21.9.2007, S. 21) geändert worden ist, den Anhängen III, V, VI und VIII der Richtlinie 98/79/EG des Europäischen Parlaments und des Rates vom 27. Oktober 1998 über In-vitro-Diagnostika (ABl. EG Nr. L 331 S. 1), die zuletzt durch die Verordnung (EG) Nr. 1882/2003 (ABl. L 284 vom 31.10.2003, S. 1) geändert worden ist und den Anhängen III, IV, VII und VIII der Richtlinie 93/42/EWG des Rates vom 14. Juni 1993 über Medizinprodukte (ABl. EG Nr. L 169 S. 1), die zuletzt durch Artikel 2 der Richtlinie 2007/47/EG (ABl. L 247 vom 21.9.2007, S. 21) geändert worden ist, in den jeweils geltenden Fassungen, können im Auftrag des Herstellers auch von seinem Bevollmächtigten im Sinne des § 3 Nr. 16 des Medizinproduktegesetzes durchgeführt werden.</w:t>
      </w:r>
    </w:p>
    <w:p>
      <w:r>
        <w:t xml:space="preserve">(2) Soweit die Verfahren unter Beteiligung einer Benannten Stelle im Sinne des § 3 Nr. 20 des Medizinproduktegesetzes durchgeführt werden, beauftragen der Hersteller oder sein Bevollmächtigter eine Benannte Stelle ihrer Wahl, die für das entsprechende Verfahren und die jeweiligen Medizinprodukte benannt ist. Die Benannte Stelle und der Hersteller oder sein Bevollmächtigter legen einvernehmlich die Fristen für die Durchführung der Prüfungen und Bewertungen fest.</w:t>
      </w:r>
    </w:p>
    <w:p>
      <w:r>
        <w:t xml:space="preserve">(3) Die Benannte Stelle kann im Konformitätsbewertungsverfahren alle Informationen und Angaben fordern, die zur Durchführung der Überprüfungen und Bewertungen und zur Erteilung von Bescheinigungen erforderlich sind.</w:t>
      </w:r>
    </w:p>
    <w:p>
      <w:r>
        <w:t xml:space="preserve">(4) Im Verfahren der Konformitätsbewertung sind Ergebnisse von Prüfungen und Bewertungen, die für die jeweiligen Produkte bereits durchgeführt wurden, angemessen zu berücksichtigen.</w:t>
      </w:r>
    </w:p>
    <w:p>
      <w:r>
        <w:t xml:space="preserve">(5) Die Geltungsdauer von Bescheinigungen, die nach den Anhängen 2 und 5 der Richtlinie 90/385/EWG, den Anhängen III, IV und V der Richtlinie 98/79/EG und den Anhängen II, III, V und VI der Richtlinie 93/42/EWG ausgestellt werden, ist auf höchstens fünf Jahre zu befristen.</w:t>
      </w:r>
    </w:p>
    <w:p>
      <w:r>
        <w:rPr>
          <w:color w:val="555555"/>
          <w:sz w:val="17"/>
        </w:rPr>
        <w:t xml:space="preserve">Zitiervorschlag: § 3 MPV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https://recht.nulegal.eu/gesetze/MPV%202002/3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