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MPV 2002 — Biologische Sicherheitsprüfung</w:t>
      </w:r>
    </w:p>
    <w:p>
      <w:r>
        <w:rPr>
          <w:color w:val="555555"/>
          <w:sz w:val="18"/>
        </w:rPr>
        <w:t xml:space="preserve">Medizinprodukte-Verordnung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Zur Bewertung der biologischen Verträglichkeit von Medizinprodukten sind biologische Sicherheitsprüfungen mit Tierversuchen durchzuführen, soweit sie</w:t>
      </w:r>
    </w:p>
    <w:p>
      <w:pPr>
        <w:ind w:left="420"/>
      </w:pPr>
      <w:r>
        <w:t xml:space="preserve">1. bei Medizinprodukten im Sinne des § 3 Nr. 2 des Medizinproduktegesetzes nach der Richtlinie 2001/83/EG des Europäischen Parlaments und des Rates vom 6. November 2001 zur Schaffung eines Gemeinschaftskodexes für Humanarzneimittel (ABl. L 311 vom 28.11.2001, S. 67), die zuletzt durch die Verordnung (EG) Nr. 1394/2007 (ABl. L 324 vom 10.12.2007, S. 121) geändert worden ist, in der jeweils geltenden Fassung oder nach den Arzneimittelprüfrichtlinien nach § 26 des Arzneimittelgesetzes,</w:t>
      </w:r>
    </w:p>
    <w:p>
      <w:pPr>
        <w:ind w:left="420"/>
      </w:pPr>
      <w:r>
        <w:t xml:space="preserve">2. nach harmonisierten Normen im Sinne des § 3 Nr. 18 des Medizinproduktegesetzes oder</w:t>
      </w:r>
    </w:p>
    <w:p>
      <w:pPr>
        <w:ind w:left="420"/>
      </w:pPr>
      <w:r>
        <w:t xml:space="preserve">3. nach dem jeweiligen Stand der wissenschaftlichen Erkenntnisse</w:t>
      </w:r>
    </w:p>
    <w:p>
      <w:r>
        <w:t xml:space="preserve">erforderlich sind.</w:t>
      </w:r>
    </w:p>
    <w:p>
      <w:r>
        <w:rPr>
          <w:color w:val="555555"/>
          <w:sz w:val="17"/>
        </w:rPr>
        <w:t xml:space="preserve">Zitiervorschlag: § 2 MPV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