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MPSV — Modalitäten der Meldung</w:t>
      </w:r>
    </w:p>
    <w:p>
      <w:r>
        <w:rPr>
          <w:color w:val="555555"/>
          <w:sz w:val="18"/>
        </w:rPr>
        <w:t xml:space="preserve">Medizinprodukte-Sicherheitsplanverordnung</w:t>
      </w:r>
    </w:p>
    <w:p>
      <w:r>
        <w:rPr>
          <w:color w:val="555555"/>
          <w:sz w:val="18"/>
        </w:rPr>
        <w:t xml:space="preserve">Historische Fassung: Stand 10.06.2019 bis 26.05.2021. Dies ist nicht die aktuelle Fassung.</w:t>
      </w:r>
    </w:p>
    <w:p>
      <w:r>
        <w:t xml:space="preserve">(1) Das Bundesministerium für Gesundheit macht die zuständigen Bundesoberbehörden unter Angabe ihrer Zuständigkeitsbereiche, ihrer Postanschriften und der Telekommunikationsnummern der für die Risikoerfassung und -bewertung zuständigen Organisationseinheiten sowie Hinweise zur Erreichbarkeit außerhalb der üblichen Dienstzeiten auf seiner Internetseite bekannt und sorgt für eine fortlaufende Aktualisierung dieser Bekanntmachung.</w:t>
      </w:r>
    </w:p>
    <w:p>
      <w:r>
        <w:t xml:space="preserve">(2) Die Meldungen nach § 3, mit Ausnahme der Meldungen nach § 3 Absatz 4, erfolgen elektronisch und maschinenlesbar im Sinne von § 12 des E-Government-Gesetzes. Die zuständigen Bundesoberbehörden veröffentlichen Informationen zur elektronischen Übermittlung sowie die dabei zu verwendenden Formblätter auf ihren Internetseiten.</w:t>
      </w:r>
    </w:p>
    <w:p>
      <w:r>
        <w:t xml:space="preserve">(3) Der Meldung eines Rückrufs nach § 3 Absatz 1 sind insbesondere folgende Informationen beizufügen:</w:t>
      </w:r>
    </w:p>
    <w:p>
      <w:pPr>
        <w:ind w:left="420"/>
      </w:pPr>
      <w:r>
        <w:t xml:space="preserve">1. die Maßnahmenempfehlung gemäß § 14 Absatz 2 in deutscher und, soweit vorhanden, in englischer Sprache,</w:t>
      </w:r>
    </w:p>
    <w:p>
      <w:pPr>
        <w:ind w:left="420"/>
      </w:pPr>
      <w:r>
        <w:t xml:space="preserve">2. der relevante Auszug aus der Risikoanalyse des Produktes,</w:t>
      </w:r>
    </w:p>
    <w:p>
      <w:pPr>
        <w:ind w:left="420"/>
      </w:pPr>
      <w:r>
        <w:t xml:space="preserve">3. eine Begründung, dass die geplante korrektive Maßnahme erforderlich und ausreichend ist, um das von dem Medizinprodukt ausgehende Risiko zu beseitigen oder zu verringern oder dessen erneutes Auftreten zu verhindern; dies schließt die Begründung und Darlegung des Zeitplans für die Durchführung des Rückrufs sowie, sofern zutreffend, die Begründung für seine Beschränkung auf bestimmte Chargen oder Produktserien ein.</w:t>
      </w:r>
    </w:p>
    <w:p>
      <w:r>
        <w:t xml:space="preserve">(4) Das Format der zusammenfassenden Meldung von schwerwiegenden unerwünschten Ereignissen nach § 5 Absatz 2 Satz 3 ist mit der zuständigen Bundesoberbehörde abzustimmen.</w:t>
      </w:r>
    </w:p>
    <w:p>
      <w:r>
        <w:rPr>
          <w:color w:val="555555"/>
          <w:sz w:val="17"/>
        </w:rPr>
        <w:t xml:space="preserve">Zitiervorschlag: § 7 MPSV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https://recht.nulegal.eu/gesetze/MPSV/7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