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MPSV — Fristen</w:t>
      </w:r>
    </w:p>
    <w:p>
      <w:r>
        <w:rPr>
          <w:color w:val="555555"/>
          <w:sz w:val="18"/>
        </w:rPr>
        <w:t xml:space="preserve">Medizinprodukte-Sicherheitsplanverordnung</w:t>
      </w:r>
    </w:p>
    <w:p>
      <w:r>
        <w:rPr>
          <w:color w:val="555555"/>
          <w:sz w:val="18"/>
        </w:rPr>
        <w:t xml:space="preserve">Historische Fassung: Stand 10.06.2019 bis 26.05.2021. Dies ist nicht die aktuelle Fassung.</w:t>
      </w:r>
    </w:p>
    <w:p>
      <w:r>
        <w:t xml:space="preserve">(1) Der Verantwortliche nach § 5 des Medizinproduktegesetzes hat Vorkommnisse entsprechend der Eilbedürftigkeit der durchzuführenden Risikobewertung zu melden, spätestens jedoch innerhalb von 30 Tagen, nachdem er Kenntnis hiervon erhalten hat. Bei Gefahr im Verzug hat die Meldung unverzüglich zu erfolgen. Rückrufe sind spätestens mit Beginn der Umsetzung der Maßnahmen zu melden.</w:t>
      </w:r>
    </w:p>
    <w:p>
      <w:r>
        <w:t xml:space="preserve">(2) Die Meldungen und Mitteilungen nach § 3 Absatz 2 bis 4 und 5 Satz 3 haben unverzüglich zu erfolgen. Dies gilt auch für Meldungen von schwerwiegenden unerwünschten Ereignissen, für die ein Zusammenhang mit dem zu prüfenden Medizinprodukt, einem Vergleichsprodukt oder den in der klinischen Prüfung angewandten therapeutischen oder diagnostischen Maßnahmen oder den sonstigen Bedingungen der Durchführung der klinischen Prüfung nicht ausgeschlossen werden kann. Alle anderen schwerwiegenden unerwünschten Ereignisse sind vollständig zu dokumentieren und in zusammenfassender Form vierteljährlich oder auf Aufforderung der zuständigen Bundesoberbehörde zu melden.</w:t>
      </w:r>
    </w:p>
    <w:p>
      <w:r>
        <w:rPr>
          <w:color w:val="555555"/>
          <w:sz w:val="17"/>
        </w:rPr>
        <w:t xml:space="preserve">Zitiervorschlag: § 5 MPSV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https://recht.nulegal.eu/gesetze/MPSV/5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