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MPSV — Ausnahmen von der Meldepflicht und besondere Verfahren</w:t>
      </w:r>
    </w:p>
    <w:p>
      <w:r>
        <w:rPr>
          <w:color w:val="555555"/>
          <w:sz w:val="18"/>
        </w:rPr>
        <w:t xml:space="preserve">Medizinprodukte-Sicherheitsplanverordnung</w:t>
      </w:r>
    </w:p>
    <w:p>
      <w:r>
        <w:rPr>
          <w:color w:val="555555"/>
          <w:sz w:val="18"/>
        </w:rPr>
        <w:t xml:space="preserve">Historische Fassung: Stand 10.06.2019 bis 26.05.2021. Dies ist nicht die aktuelle Fassung.</w:t>
      </w:r>
    </w:p>
    <w:p>
      <w:r>
        <w:t xml:space="preserve">(1) Die zuständige Behörde des Bundes kann für bereits ausreichend untersuchte Vorkommnisse Ausnahmen von der Meldepflicht oder eine zusammenfassende Meldung in regelmäßigen Zeitabständen anordnen. Liegen die Voraussetzungen nach Satz 1 vor, kann eine Ausnahme von der Meldepflicht auch auf Antrag des Verantwortlichen nach § 5 des Medizinproduktegesetzes zugelassen werden.</w:t>
      </w:r>
    </w:p>
    <w:p>
      <w:r>
        <w:t xml:space="preserve">(2) Vorkommnisse, die bereits Gegenstand einer Maßnahmenempfehlung des Verantwortlichen nach § 5 des Medizinproduktegesetzes oder einer Anordnung der zuständigen Behörde waren und danach weiterhin auftreten können, sind von diesem in regelmäßigen, mit der zuständigen Bundesoberbehörde im Einzelfall abgestimmten Zeitabständen zusammenfassend zu melden. Der Inhalt der Meldung nach Satz 1 wird zwischen der zuständigen Behörde des Bundes und dem Verantwortlichen nach § 5 des Medizinproduktegesetzes abgesprochen.</w:t>
      </w:r>
    </w:p>
    <w:p>
      <w:r>
        <w:rPr>
          <w:color w:val="555555"/>
          <w:sz w:val="17"/>
        </w:rPr>
        <w:t xml:space="preserve">Zitiervorschlag: § 4 MPSV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https://recht.nulegal.eu/gesetze/MPSV/4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