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MPSV — Unterrichtung sonstiger Behörden, Organisationen und Stellen</w:t>
      </w:r>
    </w:p>
    <w:p>
      <w:r>
        <w:rPr>
          <w:color w:val="555555"/>
          <w:sz w:val="18"/>
        </w:rPr>
        <w:t xml:space="preserve">Medizinprodukte-Sicherheitsplanverordnung</w:t>
      </w:r>
    </w:p>
    <w:p>
      <w:r>
        <w:rPr>
          <w:color w:val="555555"/>
          <w:sz w:val="18"/>
        </w:rPr>
        <w:t xml:space="preserve">Historische Fassung: Stand 10.07.2020 bis 26.05.2021. Dies ist nicht die aktuelle Fassung.</w:t>
      </w:r>
    </w:p>
    <w:p>
      <w:r>
        <w:t xml:space="preserve">(1) Die zuständige Bundesoberbehörde unterrichtet das Bundesministerium für Umwelt, Naturschutz und nukleare Sicherheit sowie das Bundesamt für Strahlenschutz über eingehende Meldungen von Vorkommnissen und Rückrufen sowie über den Abschluss und das Ergebnis der durchgeführten Risikobewertungen, soweit der Strahlenschutz betroffen ist, und das Robert-Koch-Institut, soweit Medizinprodukte betroffen sind, die zu Desinfektionszwecken bestimmt sind.</w:t>
      </w:r>
    </w:p>
    <w:p>
      <w:r>
        <w:t xml:space="preserve">(2) Die zuständige Bundesoberbehörde unterrichtet das Bundesministerium der Verteidigung, die zuständige Behörde nach § 15 des Medizinproduktegesetzes sowie die in der Vorkommnismeldung angegebene Benannte Stelle über eingehende Meldungen von Vorkommnissen und Rückrufen sowie über den Abschluss und das Ergebnis der durchgeführten Risikobewertungen. Die Unterrichtung kann auch durch Gewährung des Zugriffs auf die Daten erfolgen, die dem Bundesinstitut für Arzneimittel und Medizinprodukte gemäß § 29 Absatz 1 Satz 5 des Medizinproduktegesetzes übermittelt worden sind.</w:t>
      </w:r>
    </w:p>
    <w:p>
      <w:r>
        <w:t xml:space="preserve">(3) Informationen und Auskünfte zu vorliegenden Meldungen, durchgeführten Risikobewertungen und korrektiven Maßnahmen dürfen auch an den Medizinischen Dienst des Spitzenverbandes Bund der Krankenkassen, die Deutsche Krankenhausgesellschaft und andere Organisationen, Stellen und Personen übermittelt werden, soweit von diesen ein Beitrag zur Risikoverringerung geleistet werden kann oder ein berechtigtes Interesse besteht.</w:t>
      </w:r>
    </w:p>
    <w:p>
      <w:r>
        <w:t xml:space="preserve">(4) § 11 Abs. 1 Satz 2 findet entsprechende Anwendung.</w:t>
      </w:r>
    </w:p>
    <w:p>
      <w:r>
        <w:t xml:space="preserve">(5) Ist das Bundesinstitut für Arzneimittel und Medizinprodukte im Rahmen eines Konsultationsverfahrens nach Anhang II (Absatz 4.3) und III (Absatz 5) der Richtlinie 93/42/EWG des Rates vom 14. Juni 1993 über Medizinprodukte (ABl. L 169 vom 12.7.1993, S. 1), die zuletzt durch Artikel 2 der Richtlinie 2007/47/EG (ABl. L 247 vom 21.9.2007, S. 21) geändert worden ist, oder nach Anhang 2 (Absatz 4.3) und Anhang 3 (Absatz 5) der Richtlinie 90/385/EWG des Rates vom 20. Juni 1990 zur Angleichung der Rechtsvorschriften der Mitgliedstaaten über aktive implantierbare medizinische Geräte (ABl. L 189 vom 20.7.1990, S. 17), die zuletzt durch Artikel 1 der Richtlinie 2007/47/EG (ABl. L 247 vom 21.9.2007, S. 21) geändert worden ist, in den jeweils geltenden Fassungen tätig geworden und erhält später Informationen über den verwendeten ergänzenden Stoff, die Auswirkungen auf das Nutzen-/Risiko-Profil der Verwendung dieses Stoffes im Medizinprodukt haben könnten, so informiert es darüber die beteiligten Benannten Stellen. Die Benannte Stelle prüft, ob diese Information Auswirkungen auf das Nutzen-/Risiko-Profil der Verwendung des Stoffes in dem Medizinprodukt hat, und veranlasst gegebenenfalls eine Neubewertung des Konformitätsbewertungsverfahrens.</w:t>
      </w:r>
    </w:p>
    <w:p>
      <w:r>
        <w:rPr>
          <w:color w:val="555555"/>
          <w:sz w:val="17"/>
        </w:rPr>
        <w:t xml:space="preserve">Zitiervorschlag: § 22 MPSV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https://recht.nulegal.eu/gesetze/MPSV/22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