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MPSV — Informationsaustausch zwischen der zuständigen Bundesoberbehörde und den zuständigen Landesbehörden</w:t>
      </w:r>
    </w:p>
    <w:p>
      <w:r>
        <w:rPr>
          <w:color w:val="555555"/>
          <w:sz w:val="18"/>
        </w:rPr>
        <w:t xml:space="preserve">Medizinprodukte-Sicherheitsplanverordnung</w:t>
      </w:r>
    </w:p>
    <w:p>
      <w:r>
        <w:rPr>
          <w:color w:val="555555"/>
          <w:sz w:val="18"/>
        </w:rPr>
        <w:t xml:space="preserve">Historische Fassung: Stand 10.07.2020 bis 26.05.2021. Dies ist nicht die aktuelle Fassung.</w:t>
      </w:r>
    </w:p>
    <w:p>
      <w:r>
        <w:t xml:space="preserve">(1) Die zuständige Bundesoberbehörde informiert</w:t>
      </w:r>
    </w:p>
    <w:p>
      <w:pPr>
        <w:ind w:left="420"/>
      </w:pPr>
      <w:r>
        <w:t xml:space="preserve">1. die für den Sitz des Verantwortlichen nach § 5 des Medizinproduktegesetzes oder, sofern der Verantwortliche seinen Sitz nicht in Deutschland hat und ein in Deutschland ansässiger Vertreiber bekannt ist, des Vertreibers sowie die für den Ort des Vorkommnisses zuständige oberste Landesbehörde oder die von dieser benannte zuständige Behörde über eingehende Meldungen von Vorkommnissen und Rückrufen sowie über den Abschluss und das Ergebnis der durchgeführten Risikobewertung,</w:t>
      </w:r>
    </w:p>
    <w:p>
      <w:pPr>
        <w:ind w:left="420"/>
      </w:pPr>
      <w:r>
        <w:t xml:space="preserve">2. die für den Sitz des Sponsors oder seines Vertreters nach § 20 Absatz 1 Satz 4 Nummer 1a des Medizinproduktegesetzes oder, sofern diese ihren Sitz nicht in Deutschland haben, die für die Prüfstellen in Deutschland sowie die für den Ort des schwerwiegenden unerwünschten Ereignisses zuständige oberste Landesbehörde oder die von dieser benannte zuständige Behörde über eingehende Meldungen von schwerwiegenden unerwünschten Ereignissen, über den Abschluss und das Ergebnis der durchgeführten Risikobewertung.</w:t>
      </w:r>
    </w:p>
    <w:p>
      <w:r>
        <w:t xml:space="preserve">Die Information kann auch in der Weise erfolgen, dass das Bundesinstitut für Arzneimittel und Medizinprodukte der zuständigen Behörde mitteilt, dass für sie neue Daten nach § 29 Absatz 1 Satz 4 des Medizinproduktegesetzes zum Abruf bereitgehalten werden. Sofern der Verantwortliche nach § 5 des Medizinproduktegesetzes oder der Sponsor nicht bereit ist, erforderliche korrektive Maßnahmen eigenverantwortlich durchzuführen, teilt die zuständige Bundesoberbehörde die auf Grund der Risikobewertung für erforderlich erachteten Maßnahmen mit.</w:t>
      </w:r>
    </w:p>
    <w:p>
      <w:r>
        <w:t xml:space="preserve">(2) Die zuständige Behörde teilt der zuständigen Bundesoberbehörde alle getroffenen Anordnungen mit und informiert sie über Fortgang und Abschluss der Maßnahmen. Sie informiert ferner die zuständige Bundesoberbehörde, wenn sie deren Bewertung des Risikos nicht teilt.</w:t>
      </w:r>
    </w:p>
    <w:p>
      <w:r>
        <w:t xml:space="preserve">(3) Das Bundesinstitut für Arzneimittel und Medizinprodukte führt in Abstimmung mit dem Paul-Ehrlich-Institut regelmäßige Besprechungen (Routinesitzungen) mit den für Medizinprodukte zuständigen obersten Bundes- und Landesbehörden sowie der zuständigen Behörde nach § 15 des Medizinproduktegesetzes über die Grundlagen und das Verfahren der Risikoerfassung und -bewertung sowie Fälle von allgemeinem Interesse durch. Bei Abstimmungsbedarf zu speziellen Fragen kann die zuständige Bundesoberbehörde zu einer Sondersitzung einladen. Soweit sinnvoll, sollen der Medizinische Dienst der Spitzenverbände der Krankenkassen, Vertreter der Heilberufe und der Krankenhäuser, die Verbände der Medizinprodukte-Industrie sowie sonstige betroffene Behörden und Organisationen beteiligt werden.</w:t>
      </w:r>
    </w:p>
    <w:p>
      <w:r>
        <w:rPr>
          <w:color w:val="555555"/>
          <w:sz w:val="17"/>
        </w:rPr>
        <w:t xml:space="preserve">Zitiervorschlag: § 20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