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MPSV — Begriffsbestimmungen</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Im Sinne dieser Verordnung ist</w:t>
      </w:r>
    </w:p>
    <w:p>
      <w:pPr>
        <w:ind w:left="420"/>
      </w:pPr>
      <w:r>
        <w:t xml:space="preserve">1. Vorkommnis eine Funktionsstörung, ein Ausfall, eine Änderung der Merkmale oder der Leistung oder eine unsachgemäße Kennzeichnung oder Gebrauchsanweisung eines Medizinproduktes, die oder der unmittelbar oder mittelbar zum Tod oder zu einer schwerwiegenden Verschlechterung des Gesundheitszustands eines Patienten, eines Anwenders oder einer anderen Person geführt hat, geführt haben könnte oder führen könnte; als Funktionsstörung gilt auch ein Mangel der Gebrauchstauglichkeit, der eine Fehlanwendung verursacht,</w:t>
      </w:r>
    </w:p>
    <w:p>
      <w:pPr>
        <w:ind w:left="420"/>
      </w:pPr>
      <w:r>
        <w:t xml:space="preserve">2. korrektive Maßnahme eine Maßnahme zur Beseitigung, Verringerung oder Verhinderung des erneuten Auftretens eines von einem Medizinprodukt ausgehenden Risikos,</w:t>
      </w:r>
    </w:p>
    <w:p>
      <w:pPr>
        <w:ind w:left="420"/>
      </w:pPr>
      <w:r>
        <w:t xml:space="preserve">3. Rückruf eine korrektive Maßnahme, mit der die Rücksendung, der Austausch, die Um- oder Nachrüstung, die Aussonderung oder Vernichtung eines Medizinprodukts veranlasst wird oder Anwendern, Betreibern oder Patienten Hinweise für die weitere sichere Anwendung oder den Betrieb von Medizinprodukten gegeben werden,</w:t>
      </w:r>
    </w:p>
    <w:p>
      <w:pPr>
        <w:ind w:left="420"/>
      </w:pPr>
      <w:r>
        <w:t xml:space="preserve">4. Maßnahmenempfehlung eine Mitteilung des Verantwortlichen nach § 5 des Medizinproduktegesetzes, mit der ein Rückruf veranlasst wird,</w:t>
      </w:r>
    </w:p>
    <w:p>
      <w:pPr>
        <w:ind w:left="420"/>
      </w:pPr>
      <w:r>
        <w:t xml:space="preserve">5. schwerwiegendes unerwünschtes Ereignis jedes in einer genehmigungspflichtigen klinischen Prüfung oder einer genehmigungspflichtigen Leistungsbewertungsprüfung auftretende ungewollte Ereignis, das unmittelbar oder mittelbar zum Tod oder zu einer schwerwiegenden Verschlechterung des Gesundheitszustands eines Probanden, eines Anwenders oder einer anderen Person geführt hat, geführt haben könnte oder führen könnte ohne zu berücksichtigen, ob das Ereignis vom Medizinprodukt verursacht wurde; das Vorgesagte gilt entsprechend für schwerwiegende unerwünschte Ereignisse, die in einer klinischen Prüfung oder Leistungsbewertungsprüfung, für die eine Befreiung von der Genehmigungspflicht nach § 20 Absatz 1 Satz 2 des Medizinproduktegesetzes erteilt wurde, aufgetreten sind.</w:t>
      </w:r>
    </w:p>
    <w:p>
      <w:r>
        <w:rPr>
          <w:color w:val="555555"/>
          <w:sz w:val="17"/>
        </w:rPr>
        <w:t xml:space="preserve">Zitiervorschlag: § 2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